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F5" w:rsidRPr="00E10174" w:rsidRDefault="001A70F5" w:rsidP="00400CD9">
      <w:pPr>
        <w:pStyle w:val="Heading1"/>
        <w:spacing w:before="0"/>
        <w:jc w:val="center"/>
        <w:rPr>
          <w:b/>
          <w:color w:val="0070C0"/>
          <w:sz w:val="30"/>
          <w:szCs w:val="30"/>
          <w:lang w:val="en-US"/>
        </w:rPr>
      </w:pPr>
    </w:p>
    <w:p w:rsidR="00DE6DDF" w:rsidRDefault="00075122" w:rsidP="00DE6DDF">
      <w:pPr>
        <w:jc w:val="center"/>
        <w:rPr>
          <w:b/>
          <w:color w:val="0070C0"/>
          <w:sz w:val="24"/>
          <w:szCs w:val="24"/>
        </w:rPr>
      </w:pPr>
      <w:r w:rsidRPr="00075122">
        <w:rPr>
          <w:b/>
          <w:color w:val="0070C0"/>
        </w:rPr>
        <w:t>“</w:t>
      </w:r>
      <w:r w:rsidRPr="00075122">
        <w:rPr>
          <w:b/>
          <w:color w:val="0070C0"/>
          <w:sz w:val="24"/>
          <w:szCs w:val="24"/>
        </w:rPr>
        <w:t xml:space="preserve">Child’s Best </w:t>
      </w:r>
      <w:bookmarkStart w:id="0" w:name="_GoBack"/>
      <w:bookmarkEnd w:id="0"/>
      <w:r w:rsidR="00AB782C" w:rsidRPr="00075122">
        <w:rPr>
          <w:b/>
          <w:color w:val="0070C0"/>
          <w:sz w:val="24"/>
          <w:szCs w:val="24"/>
        </w:rPr>
        <w:t xml:space="preserve">Interest </w:t>
      </w:r>
      <w:r w:rsidR="00AB782C">
        <w:rPr>
          <w:b/>
          <w:color w:val="0070C0"/>
          <w:sz w:val="24"/>
          <w:szCs w:val="24"/>
        </w:rPr>
        <w:t>Procedures</w:t>
      </w:r>
      <w:r w:rsidR="00C35819">
        <w:rPr>
          <w:b/>
          <w:color w:val="0070C0"/>
          <w:sz w:val="24"/>
          <w:szCs w:val="24"/>
        </w:rPr>
        <w:t xml:space="preserve"> </w:t>
      </w:r>
      <w:r w:rsidRPr="00075122">
        <w:rPr>
          <w:b/>
          <w:color w:val="0070C0"/>
          <w:sz w:val="24"/>
          <w:szCs w:val="24"/>
        </w:rPr>
        <w:t>and Sexual &amp; Gender-Based Violence case Management in migration and refugee contexts”</w:t>
      </w:r>
    </w:p>
    <w:p w:rsidR="00DE6DDF" w:rsidRDefault="00DE6DDF" w:rsidP="00DE6DDF">
      <w:pPr>
        <w:jc w:val="center"/>
        <w:rPr>
          <w:b/>
          <w:color w:val="0070C0"/>
          <w:sz w:val="24"/>
          <w:szCs w:val="24"/>
          <w:lang w:val="es-ES_tradnl"/>
        </w:rPr>
      </w:pPr>
      <w:r>
        <w:rPr>
          <w:b/>
          <w:color w:val="0070C0"/>
          <w:sz w:val="24"/>
          <w:szCs w:val="24"/>
          <w:lang w:val="es-ES_tradnl"/>
        </w:rPr>
        <w:t xml:space="preserve">Workshop Agenda </w:t>
      </w:r>
    </w:p>
    <w:p w:rsidR="00E10174" w:rsidRPr="00DE6DDF" w:rsidRDefault="00075122" w:rsidP="00DE6DDF">
      <w:pPr>
        <w:jc w:val="center"/>
        <w:rPr>
          <w:b/>
          <w:color w:val="0070C0"/>
          <w:sz w:val="40"/>
          <w:lang w:val="es-ES_tradnl"/>
        </w:rPr>
      </w:pPr>
      <w:r w:rsidRPr="00DE6DDF">
        <w:rPr>
          <w:b/>
          <w:color w:val="0070C0"/>
          <w:sz w:val="24"/>
          <w:szCs w:val="24"/>
          <w:lang w:val="es-ES_tradnl"/>
        </w:rPr>
        <w:t>19-20 June</w:t>
      </w:r>
      <w:r w:rsidR="00E10174" w:rsidRPr="00DE6DDF">
        <w:rPr>
          <w:b/>
          <w:color w:val="0070C0"/>
          <w:sz w:val="24"/>
          <w:szCs w:val="24"/>
          <w:lang w:val="es-ES_tradnl"/>
        </w:rPr>
        <w:t>, San Salvador, El Salvador</w:t>
      </w:r>
    </w:p>
    <w:p w:rsidR="00334E30" w:rsidRPr="00DE6DDF" w:rsidRDefault="00334E30" w:rsidP="00334E30">
      <w:pPr>
        <w:pStyle w:val="Heading1"/>
        <w:rPr>
          <w:lang w:val="es-ES_tradnl"/>
        </w:rPr>
      </w:pP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721"/>
        <w:gridCol w:w="721"/>
        <w:gridCol w:w="7063"/>
      </w:tblGrid>
      <w:tr w:rsidR="0009370C" w:rsidRPr="00F10797" w:rsidTr="00641E60">
        <w:trPr>
          <w:trHeight w:val="30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343E5F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09370C" w:rsidRPr="00F10797" w:rsidRDefault="00075122" w:rsidP="00F10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Time</w:t>
            </w:r>
          </w:p>
        </w:tc>
        <w:tc>
          <w:tcPr>
            <w:tcW w:w="7063" w:type="dxa"/>
            <w:tcBorders>
              <w:top w:val="single" w:sz="8" w:space="0" w:color="auto"/>
              <w:left w:val="single" w:sz="4" w:space="0" w:color="000000"/>
              <w:bottom w:val="single" w:sz="4" w:space="0" w:color="343E5F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09370C" w:rsidRPr="00F10797" w:rsidRDefault="00075122" w:rsidP="00461805">
            <w:pPr>
              <w:spacing w:after="0" w:line="240" w:lineRule="auto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First Day</w:t>
            </w:r>
          </w:p>
        </w:tc>
      </w:tr>
      <w:tr w:rsidR="0009370C" w:rsidRPr="00F10797" w:rsidTr="0009370C">
        <w:trPr>
          <w:trHeight w:val="147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8:15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8:45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75122" w:rsidP="00F10797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Registration</w:t>
            </w:r>
          </w:p>
        </w:tc>
      </w:tr>
      <w:tr w:rsidR="0009370C" w:rsidRPr="00075122" w:rsidTr="0009370C">
        <w:trPr>
          <w:trHeight w:val="705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8:45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9: 15 </w:t>
            </w: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075122" w:rsidRDefault="00075122" w:rsidP="00075122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075122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Opening and introduction by the </w:t>
            </w:r>
            <w:r w:rsidR="00DE6DDF" w:rsidRPr="00075122">
              <w:rPr>
                <w:rFonts w:eastAsia="Times New Roman" w:cs="Arial"/>
                <w:color w:val="2E74B5" w:themeColor="accent1" w:themeShade="BF"/>
                <w:lang w:eastAsia="en-GB"/>
              </w:rPr>
              <w:t>Presidency</w:t>
            </w:r>
            <w:r w:rsidR="00684E7E" w:rsidRPr="00075122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Pro Te</w:t>
            </w:r>
            <w:r w:rsidRPr="00075122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mpore  and UNHCR </w:t>
            </w:r>
          </w:p>
        </w:tc>
      </w:tr>
      <w:tr w:rsidR="0009370C" w:rsidRPr="00DE6DDF" w:rsidTr="00F85963">
        <w:trPr>
          <w:trHeight w:val="1273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9:15</w:t>
            </w: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F53763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11:15 </w:t>
            </w:r>
            <w:r w:rsidR="0009370C"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DDF" w:rsidRPr="00DE6DDF" w:rsidRDefault="00DE6DDF" w:rsidP="005A378F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DE6DDF">
              <w:rPr>
                <w:rFonts w:eastAsia="Times New Roman" w:cs="Arial"/>
                <w:color w:val="2E74B5" w:themeColor="accent1" w:themeShade="BF"/>
                <w:lang w:eastAsia="en-GB"/>
              </w:rPr>
              <w:t>Definition of Sexual &amp; Gender-Based Violence (SGBV): Causes and consequences</w:t>
            </w: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: Special considerations in cases of SGBV against girls in the migration and refugee context</w:t>
            </w:r>
          </w:p>
          <w:p w:rsidR="00DB082A" w:rsidRPr="00DE6DDF" w:rsidRDefault="00DB082A" w:rsidP="005A378F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</w:tc>
      </w:tr>
      <w:tr w:rsidR="0009370C" w:rsidRPr="00AB33D6" w:rsidTr="0009370C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AB33D6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11</w:t>
            </w: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:30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11:45</w:t>
            </w:r>
            <w:r w:rsidR="0009370C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Receso</w:t>
            </w:r>
          </w:p>
        </w:tc>
      </w:tr>
      <w:tr w:rsidR="0009370C" w:rsidRPr="00DE6DDF" w:rsidTr="0009370C">
        <w:trPr>
          <w:trHeight w:val="700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11:45</w:t>
            </w:r>
            <w:r w:rsidR="00461805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 </w:t>
            </w:r>
            <w:r w:rsidR="0009370C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13:00</w:t>
            </w:r>
            <w:r w:rsidR="000721F0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  <w:r w:rsidR="00461805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DE6DDF" w:rsidRDefault="00DE6DDF" w:rsidP="00F10797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Core principles of Child Protection and SGBV case management in the migration and refugee context </w:t>
            </w:r>
          </w:p>
        </w:tc>
      </w:tr>
      <w:tr w:rsidR="0009370C" w:rsidRPr="00DB082A" w:rsidTr="0009370C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DB082A" w:rsidRDefault="000721F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 w:rsidRPr="00DE6DDF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  <w:r w:rsidR="00AB33D6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13:00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  <w:p w:rsidR="00AB33D6" w:rsidRPr="00DB082A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14:00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  <w:p w:rsidR="00AB33D6" w:rsidRPr="00DB082A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Almuerzo</w:t>
            </w:r>
          </w:p>
        </w:tc>
      </w:tr>
      <w:tr w:rsidR="0009370C" w:rsidRPr="00DE6DDF" w:rsidTr="0009370C">
        <w:trPr>
          <w:trHeight w:val="69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DB082A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14:00</w:t>
            </w:r>
            <w:r w:rsidR="0009370C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3D6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" w:eastAsia="en-GB"/>
              </w:rPr>
            </w:pPr>
          </w:p>
          <w:p w:rsidR="0009370C" w:rsidRPr="003843FF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" w:eastAsia="en-GB"/>
              </w:rPr>
              <w:t>1</w:t>
            </w:r>
            <w:r w:rsid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>5:30</w:t>
            </w:r>
            <w:r w:rsidR="000721F0" w:rsidRP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 xml:space="preserve"> </w:t>
            </w:r>
            <w:r w:rsidR="0009370C" w:rsidRP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3D6" w:rsidRPr="00C35819" w:rsidRDefault="00AB33D6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  <w:p w:rsidR="0009370C" w:rsidRPr="00DE6DDF" w:rsidRDefault="00DE6DDF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International s</w:t>
            </w:r>
            <w:r w:rsidRPr="00DE6DDF">
              <w:rPr>
                <w:rFonts w:eastAsia="Times New Roman" w:cs="Arial"/>
                <w:color w:val="2E74B5" w:themeColor="accent1" w:themeShade="BF"/>
                <w:lang w:eastAsia="en-GB"/>
              </w:rPr>
              <w:t>tandards of Child’s Best Interest Procedures in the migration and refugee context.</w:t>
            </w:r>
          </w:p>
          <w:p w:rsidR="00AB33D6" w:rsidRPr="00DE6DDF" w:rsidRDefault="00AB33D6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</w:tc>
      </w:tr>
      <w:tr w:rsidR="0009370C" w:rsidRPr="003843FF" w:rsidTr="00641E60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09370C" w:rsidRPr="00DE6DDF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09370C" w:rsidRPr="00DE6DDF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09370C" w:rsidRPr="00641E60" w:rsidRDefault="000721F0" w:rsidP="00DD36C3">
            <w:pPr>
              <w:spacing w:after="0" w:line="240" w:lineRule="auto"/>
              <w:rPr>
                <w:rFonts w:eastAsia="Times New Roman" w:cs="Arial"/>
                <w:b/>
                <w:color w:val="2E74B5" w:themeColor="accent1" w:themeShade="BF"/>
                <w:lang w:val="es-ES" w:eastAsia="en-GB"/>
              </w:rPr>
            </w:pPr>
            <w:r w:rsidRPr="00641E60">
              <w:rPr>
                <w:rFonts w:eastAsia="Times New Roman" w:cs="Arial"/>
                <w:b/>
                <w:color w:val="2F5496" w:themeColor="accent5" w:themeShade="BF"/>
                <w:lang w:val="es-ES" w:eastAsia="en-GB"/>
              </w:rPr>
              <w:t>Segundo Día</w:t>
            </w:r>
          </w:p>
        </w:tc>
      </w:tr>
      <w:tr w:rsidR="0009370C" w:rsidRPr="00DE6DDF" w:rsidTr="00F53763">
        <w:trPr>
          <w:trHeight w:val="1028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721F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>8</w:t>
            </w:r>
            <w:r w:rsidR="0009370C" w:rsidRPr="00DD36C3">
              <w:rPr>
                <w:rFonts w:eastAsia="Times New Roman" w:cs="Arial"/>
                <w:color w:val="2E74B5" w:themeColor="accent1" w:themeShade="BF"/>
                <w:lang w:eastAsia="en-GB"/>
              </w:rPr>
              <w:t>:30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F53763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9:45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763" w:rsidRPr="00C35819" w:rsidRDefault="00F53763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  <w:p w:rsidR="00DE6DDF" w:rsidRPr="00DE6DDF" w:rsidRDefault="00DE6DDF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DE6DDF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Regional standards  for the identification and Protection of migrant and refugee girl survivors of SGBV </w:t>
            </w:r>
          </w:p>
          <w:p w:rsidR="0009370C" w:rsidRPr="00DE6DDF" w:rsidRDefault="00684E7E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DE6DDF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  <w:p w:rsidR="00F53763" w:rsidRPr="00DE6DDF" w:rsidRDefault="00F53763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</w:tc>
      </w:tr>
      <w:tr w:rsidR="00F53763" w:rsidRPr="00DE6DDF" w:rsidTr="00F53763">
        <w:trPr>
          <w:trHeight w:val="636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63" w:rsidRPr="003843FF" w:rsidRDefault="00F53763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" w:eastAsia="en-GB"/>
              </w:rPr>
              <w:t>9:45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63" w:rsidRDefault="00F53763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63" w:rsidRPr="00DE6DDF" w:rsidRDefault="00DE6DDF" w:rsidP="00DE6DDF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DE6DDF">
              <w:rPr>
                <w:rFonts w:eastAsia="Times New Roman" w:cs="Arial"/>
                <w:color w:val="2E74B5" w:themeColor="accent1" w:themeShade="BF"/>
                <w:lang w:eastAsia="en-GB"/>
              </w:rPr>
              <w:t>Presentation of good practices by country delegations</w:t>
            </w:r>
          </w:p>
        </w:tc>
      </w:tr>
      <w:tr w:rsidR="0009370C" w:rsidRPr="00F10797" w:rsidTr="0009370C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F10797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11:00</w:t>
            </w:r>
            <w:r w:rsidR="0009370C"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F10797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11:15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F10797" w:rsidRDefault="000721F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Receso </w:t>
            </w:r>
          </w:p>
        </w:tc>
      </w:tr>
      <w:tr w:rsidR="0009370C" w:rsidRPr="006B5477" w:rsidTr="0009370C">
        <w:trPr>
          <w:trHeight w:val="1271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11:15</w:t>
            </w:r>
            <w:r w:rsidR="0009370C"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9857A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</w:t>
            </w:r>
            <w:r w:rsidR="005D331B">
              <w:rPr>
                <w:rFonts w:eastAsia="Times New Roman" w:cs="Arial"/>
                <w:color w:val="2E74B5" w:themeColor="accent1" w:themeShade="BF"/>
                <w:lang w:eastAsia="en-GB"/>
              </w:rPr>
              <w:t>2:</w:t>
            </w:r>
            <w:r w:rsidR="00DE6DDF">
              <w:rPr>
                <w:rFonts w:eastAsia="Times New Roman" w:cs="Arial"/>
                <w:color w:val="2E74B5" w:themeColor="accent1" w:themeShade="BF"/>
                <w:lang w:eastAsia="en-GB"/>
              </w:rPr>
              <w:t>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250DD2" w:rsidRDefault="00DE6DDF" w:rsidP="005A378F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250DD2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Next steps </w:t>
            </w:r>
          </w:p>
        </w:tc>
      </w:tr>
      <w:tr w:rsidR="0009370C" w:rsidRPr="00F10797" w:rsidTr="0009370C">
        <w:trPr>
          <w:trHeight w:val="25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C251D9">
              <w:rPr>
                <w:rFonts w:eastAsia="Times New Roman" w:cs="Arial"/>
                <w:color w:val="2E74B5" w:themeColor="accent1" w:themeShade="BF"/>
                <w:lang w:val="es-ES" w:eastAsia="en-GB"/>
              </w:rPr>
              <w:t xml:space="preserve"> </w:t>
            </w:r>
            <w:r w:rsidR="00DE6DDF">
              <w:rPr>
                <w:rFonts w:eastAsia="Times New Roman" w:cs="Arial"/>
                <w:color w:val="2E74B5" w:themeColor="accent1" w:themeShade="BF"/>
                <w:lang w:eastAsia="en-GB"/>
              </w:rPr>
              <w:t>12:30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  <w:p w:rsidR="005D331B" w:rsidRPr="00F10797" w:rsidRDefault="00DE6DDF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13:00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E60" w:rsidRDefault="00641E6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  <w:p w:rsidR="0009370C" w:rsidRPr="00F10797" w:rsidRDefault="00DE6DDF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Conclusions and closure</w:t>
            </w:r>
          </w:p>
        </w:tc>
      </w:tr>
    </w:tbl>
    <w:p w:rsidR="00400CD9" w:rsidRPr="00400CD9" w:rsidRDefault="00400CD9" w:rsidP="00E61DF9"/>
    <w:sectPr w:rsidR="00400CD9" w:rsidRPr="00400CD9" w:rsidSect="00E61DF9">
      <w:headerReference w:type="default" r:id="rId7"/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FE" w:rsidRDefault="00491AFE" w:rsidP="00C631FE">
      <w:pPr>
        <w:spacing w:after="0" w:line="240" w:lineRule="auto"/>
      </w:pPr>
      <w:r>
        <w:separator/>
      </w:r>
    </w:p>
  </w:endnote>
  <w:endnote w:type="continuationSeparator" w:id="0">
    <w:p w:rsidR="00491AFE" w:rsidRDefault="00491AFE" w:rsidP="00C6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FE" w:rsidRDefault="00491AFE" w:rsidP="00C631FE">
      <w:pPr>
        <w:spacing w:after="0" w:line="240" w:lineRule="auto"/>
      </w:pPr>
      <w:r>
        <w:separator/>
      </w:r>
    </w:p>
  </w:footnote>
  <w:footnote w:type="continuationSeparator" w:id="0">
    <w:p w:rsidR="00491AFE" w:rsidRDefault="00491AFE" w:rsidP="00C6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FE" w:rsidRDefault="00F01B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95EE49" wp14:editId="2FE33412">
          <wp:simplePos x="0" y="0"/>
          <wp:positionH relativeFrom="page">
            <wp:align>right</wp:align>
          </wp:positionH>
          <wp:positionV relativeFrom="paragraph">
            <wp:posOffset>-177875</wp:posOffset>
          </wp:positionV>
          <wp:extent cx="3853711" cy="101990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711" cy="101990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E5DF1">
      <w:rPr>
        <w:rFonts w:cs="Arial"/>
        <w:b/>
        <w:bCs/>
        <w:iCs/>
        <w:noProof/>
        <w:lang w:eastAsia="en-GB"/>
      </w:rPr>
      <w:drawing>
        <wp:inline distT="0" distB="0" distL="0" distR="0" wp14:anchorId="32153DF3" wp14:editId="73F665D9">
          <wp:extent cx="1997094" cy="792189"/>
          <wp:effectExtent l="0" t="0" r="3175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989" cy="803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31FE" w:rsidRDefault="00C63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A30"/>
    <w:multiLevelType w:val="hybridMultilevel"/>
    <w:tmpl w:val="BD0281D4"/>
    <w:lvl w:ilvl="0" w:tplc="B5BEBF1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9"/>
    <w:rsid w:val="000721F0"/>
    <w:rsid w:val="00075122"/>
    <w:rsid w:val="0009370C"/>
    <w:rsid w:val="000A35C0"/>
    <w:rsid w:val="000C28FF"/>
    <w:rsid w:val="001A70F5"/>
    <w:rsid w:val="00250DD2"/>
    <w:rsid w:val="00334E30"/>
    <w:rsid w:val="003843FF"/>
    <w:rsid w:val="003D6EAF"/>
    <w:rsid w:val="00400CD9"/>
    <w:rsid w:val="004465C6"/>
    <w:rsid w:val="00461805"/>
    <w:rsid w:val="00491AFE"/>
    <w:rsid w:val="00516ECA"/>
    <w:rsid w:val="00524EF1"/>
    <w:rsid w:val="005A378F"/>
    <w:rsid w:val="005D331B"/>
    <w:rsid w:val="00641E60"/>
    <w:rsid w:val="00684E7E"/>
    <w:rsid w:val="006B5477"/>
    <w:rsid w:val="006B64E4"/>
    <w:rsid w:val="007B5012"/>
    <w:rsid w:val="008905AA"/>
    <w:rsid w:val="008B3F57"/>
    <w:rsid w:val="008E559D"/>
    <w:rsid w:val="0092325C"/>
    <w:rsid w:val="009857A6"/>
    <w:rsid w:val="009E0997"/>
    <w:rsid w:val="00A87880"/>
    <w:rsid w:val="00AB33D6"/>
    <w:rsid w:val="00AB782C"/>
    <w:rsid w:val="00B84DEB"/>
    <w:rsid w:val="00C251D9"/>
    <w:rsid w:val="00C254CA"/>
    <w:rsid w:val="00C35819"/>
    <w:rsid w:val="00C631FE"/>
    <w:rsid w:val="00D54236"/>
    <w:rsid w:val="00DB082A"/>
    <w:rsid w:val="00DD36C3"/>
    <w:rsid w:val="00DE6DDF"/>
    <w:rsid w:val="00E10174"/>
    <w:rsid w:val="00E61DF9"/>
    <w:rsid w:val="00EB5AF0"/>
    <w:rsid w:val="00F01B02"/>
    <w:rsid w:val="00F10797"/>
    <w:rsid w:val="00F53763"/>
    <w:rsid w:val="00F85963"/>
    <w:rsid w:val="00FC15DD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6E0B4-79DA-48AB-9B36-4A21E51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0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D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B64E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6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FE"/>
  </w:style>
  <w:style w:type="paragraph" w:styleId="Footer">
    <w:name w:val="footer"/>
    <w:basedOn w:val="Normal"/>
    <w:link w:val="FooterChar"/>
    <w:uiPriority w:val="99"/>
    <w:unhideWhenUsed/>
    <w:rsid w:val="00C6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Teemar Kidane</dc:creator>
  <cp:keywords/>
  <dc:description/>
  <cp:lastModifiedBy>Ana Belen Anguita Arjona</cp:lastModifiedBy>
  <cp:revision>2</cp:revision>
  <dcterms:created xsi:type="dcterms:W3CDTF">2017-06-12T15:41:00Z</dcterms:created>
  <dcterms:modified xsi:type="dcterms:W3CDTF">2017-06-12T15:41:00Z</dcterms:modified>
</cp:coreProperties>
</file>