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BE" w:rsidRDefault="00D02463">
      <w:bookmarkStart w:id="0" w:name="_GoBack"/>
      <w:bookmarkEnd w:id="0"/>
      <w:r>
        <w:rPr>
          <w:noProof/>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233680</wp:posOffset>
                </wp:positionV>
                <wp:extent cx="1564640" cy="1605915"/>
                <wp:effectExtent l="9525" t="5080" r="698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605915"/>
                        </a:xfrm>
                        <a:prstGeom prst="rect">
                          <a:avLst/>
                        </a:prstGeom>
                        <a:solidFill>
                          <a:srgbClr val="FFFFFF"/>
                        </a:solidFill>
                        <a:ln w="9525">
                          <a:solidFill>
                            <a:srgbClr val="000000"/>
                          </a:solidFill>
                          <a:miter lim="800000"/>
                          <a:headEnd/>
                          <a:tailEnd/>
                        </a:ln>
                      </wps:spPr>
                      <wps:txbx>
                        <w:txbxContent>
                          <w:p w:rsidR="006242BE" w:rsidRDefault="00766BC0" w:rsidP="00844522">
                            <w:r>
                              <w:rPr>
                                <w:noProof/>
                                <w:sz w:val="48"/>
                                <w:lang w:val="en-US"/>
                              </w:rPr>
                              <w:drawing>
                                <wp:inline distT="0" distB="0" distL="0" distR="0">
                                  <wp:extent cx="1343025" cy="1352550"/>
                                  <wp:effectExtent l="19050" t="0" r="9525" b="0"/>
                                  <wp:docPr id="2" name="Imagen 1" descr="LOGORRO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RROCM"/>
                                          <pic:cNvPicPr>
                                            <a:picLocks noChangeAspect="1" noChangeArrowheads="1"/>
                                          </pic:cNvPicPr>
                                        </pic:nvPicPr>
                                        <pic:blipFill>
                                          <a:blip r:embed="rId6"/>
                                          <a:srcRect/>
                                          <a:stretch>
                                            <a:fillRect/>
                                          </a:stretch>
                                        </pic:blipFill>
                                        <pic:spPr bwMode="auto">
                                          <a:xfrm>
                                            <a:off x="0" y="0"/>
                                            <a:ext cx="1343025" cy="1352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4pt;width:123.2pt;height:126.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">
                <v:textbox style="mso-fit-shape-to-text:t">
                  <w:txbxContent>
                    <w:p w:rsidR="006242BE" w:rsidRDefault="00766BC0" w:rsidP="00844522">
                      <w:r>
                        <w:rPr>
                          <w:noProof/>
                          <w:sz w:val="48"/>
                          <w:lang w:val="en-US"/>
                        </w:rPr>
                        <w:drawing>
                          <wp:inline distT="0" distB="0" distL="0" distR="0">
                            <wp:extent cx="1343025" cy="1352550"/>
                            <wp:effectExtent l="19050" t="0" r="9525" b="0"/>
                            <wp:docPr id="2" name="Imagen 1" descr="LOGORRO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RROCM"/>
                                    <pic:cNvPicPr>
                                      <a:picLocks noChangeAspect="1" noChangeArrowheads="1"/>
                                    </pic:cNvPicPr>
                                  </pic:nvPicPr>
                                  <pic:blipFill>
                                    <a:blip r:embed="rId6"/>
                                    <a:srcRect/>
                                    <a:stretch>
                                      <a:fillRect/>
                                    </a:stretch>
                                  </pic:blipFill>
                                  <pic:spPr bwMode="auto">
                                    <a:xfrm>
                                      <a:off x="0" y="0"/>
                                      <a:ext cx="1343025" cy="1352550"/>
                                    </a:xfrm>
                                    <a:prstGeom prst="rect">
                                      <a:avLst/>
                                    </a:prstGeom>
                                    <a:noFill/>
                                    <a:ln w="9525">
                                      <a:noFill/>
                                      <a:miter lim="800000"/>
                                      <a:headEnd/>
                                      <a:tailEnd/>
                                    </a:ln>
                                  </pic:spPr>
                                </pic:pic>
                              </a:graphicData>
                            </a:graphic>
                          </wp:inline>
                        </w:drawing>
                      </w:r>
                    </w:p>
                  </w:txbxContent>
                </v:textbox>
                <w10:wrap type="square"/>
              </v:shape>
            </w:pict>
          </mc:Fallback>
        </mc:AlternateContent>
      </w:r>
    </w:p>
    <w:p w:rsidR="006242BE" w:rsidRDefault="006242BE"/>
    <w:p w:rsidR="006242BE" w:rsidRPr="004D4153" w:rsidRDefault="006242BE" w:rsidP="004D4153">
      <w:pPr>
        <w:pStyle w:val="Heading4"/>
        <w:jc w:val="right"/>
        <w:rPr>
          <w:sz w:val="48"/>
        </w:rPr>
      </w:pPr>
      <w:r w:rsidRPr="006607A4">
        <w:rPr>
          <w:color w:val="000066"/>
          <w:sz w:val="32"/>
        </w:rPr>
        <w:t>RED REGIONAL DE ORGANIZACIONES CIVILES PARA LAS MIGRACIONES</w:t>
      </w:r>
    </w:p>
    <w:p w:rsidR="006242BE" w:rsidRDefault="006242BE"/>
    <w:p w:rsidR="006242BE" w:rsidRDefault="006242BE" w:rsidP="00655F5F">
      <w:pPr>
        <w:jc w:val="right"/>
      </w:pPr>
      <w:r>
        <w:t>San Salvador, El Salvador, 10 de Mayo de 2011</w:t>
      </w:r>
    </w:p>
    <w:p w:rsidR="006242BE" w:rsidRDefault="006242BE" w:rsidP="00655F5F">
      <w:pPr>
        <w:jc w:val="right"/>
      </w:pPr>
    </w:p>
    <w:p w:rsidR="00894BC1" w:rsidRDefault="00894BC1" w:rsidP="00ED74DB">
      <w:pPr>
        <w:spacing w:line="240" w:lineRule="auto"/>
      </w:pPr>
      <w:r>
        <w:t xml:space="preserve">Señores </w:t>
      </w:r>
    </w:p>
    <w:p w:rsidR="00894BC1" w:rsidRDefault="00894BC1" w:rsidP="00E63D8C">
      <w:pPr>
        <w:tabs>
          <w:tab w:val="left" w:pos="5205"/>
        </w:tabs>
        <w:spacing w:line="240" w:lineRule="auto"/>
      </w:pPr>
      <w:r>
        <w:t xml:space="preserve">Presidencia Pro Tempore </w:t>
      </w:r>
      <w:r w:rsidR="00E63D8C">
        <w:tab/>
      </w:r>
    </w:p>
    <w:p w:rsidR="00894BC1" w:rsidRDefault="00894BC1" w:rsidP="00ED74DB">
      <w:pPr>
        <w:spacing w:line="240" w:lineRule="auto"/>
      </w:pPr>
      <w:r>
        <w:t xml:space="preserve">Conferencia Regional sobre Migración </w:t>
      </w:r>
    </w:p>
    <w:p w:rsidR="006242BE" w:rsidRDefault="006242BE" w:rsidP="00976FD8">
      <w:pPr>
        <w:spacing w:line="240" w:lineRule="auto"/>
      </w:pPr>
      <w:r>
        <w:t xml:space="preserve">Presente.-  </w:t>
      </w:r>
    </w:p>
    <w:p w:rsidR="000C0C5F" w:rsidRDefault="00BB38DC" w:rsidP="00BB38DC">
      <w:pPr>
        <w:ind w:left="4248" w:firstLine="708"/>
        <w:jc w:val="both"/>
      </w:pPr>
      <w:r>
        <w:t xml:space="preserve">Con atte. </w:t>
      </w:r>
      <w:r>
        <w:tab/>
        <w:t xml:space="preserve">Señor Jorge Peraza </w:t>
      </w:r>
    </w:p>
    <w:p w:rsidR="00BB38DC" w:rsidRDefault="00BB38DC" w:rsidP="00BB38DC">
      <w:pPr>
        <w:ind w:left="5664" w:firstLine="708"/>
        <w:jc w:val="both"/>
      </w:pPr>
      <w:r>
        <w:t xml:space="preserve">Secretario Técnico CRM </w:t>
      </w:r>
    </w:p>
    <w:p w:rsidR="00894BC1" w:rsidRDefault="00894BC1" w:rsidP="006C1A63">
      <w:pPr>
        <w:jc w:val="both"/>
      </w:pPr>
      <w:r>
        <w:t xml:space="preserve">Sirva la presente para trasladarles un cordial saludo de la Red Regional de Organizaciones Civiles para las Migraciones. Deseamos agradecerles el tiempo concedido para la reunión sostenida con el Comité Ejecutivo de la RROCM el pasado 27 de abril en Santo Domingo, al tiempo que les extendemos nuestras felicitaciones por la excelente organización y resultados obtenidos con la realización del taller de los días 28 y 29 de Abril en la misma ciudad. </w:t>
      </w:r>
    </w:p>
    <w:p w:rsidR="00894BC1" w:rsidRDefault="00976FD8" w:rsidP="006C1A63">
      <w:pPr>
        <w:jc w:val="both"/>
      </w:pPr>
      <w:r>
        <w:t>A propósito de la reunión que celebran para evaluar el futuro de la CRM, c</w:t>
      </w:r>
      <w:r w:rsidR="00894BC1">
        <w:t xml:space="preserve">on el objeto de avanzar en el mejoramiento de los mecanismos de diálogo entre gobiernos y sociedad civil y tal y como nos fuera solicitado en la reunión del 27 de abril, por este medio queremos formalizar las peticiones que como RROCM esperamos sean trasladadas y consideradas por los </w:t>
      </w:r>
      <w:r w:rsidR="006242BE">
        <w:t xml:space="preserve"> </w:t>
      </w:r>
      <w:r w:rsidR="00894BC1">
        <w:t xml:space="preserve">dignos representantes de los países participantes en la CRM y desde luego por la Presidencia Pro Tempore. </w:t>
      </w:r>
    </w:p>
    <w:p w:rsidR="00894BC1" w:rsidRDefault="00894BC1" w:rsidP="006C1A63">
      <w:pPr>
        <w:jc w:val="both"/>
      </w:pPr>
      <w:r>
        <w:t xml:space="preserve">En primer lugar queremos reiterar la importancia que para nuestras organizaciones tiene la CRM. Sostener el intercambio de información, avanzar en la capacitación conjunta, discutir desde diferentes perspectivas las diferentes manifestaciones de la movilidad humana en la región, avanzar hacia objetivos comunes son bondades que </w:t>
      </w:r>
      <w:r w:rsidR="00976FD8">
        <w:t>s</w:t>
      </w:r>
      <w:r w:rsidR="000C0C5F">
        <w:t>ó</w:t>
      </w:r>
      <w:r w:rsidR="00976FD8">
        <w:t xml:space="preserve">lo </w:t>
      </w:r>
      <w:r>
        <w:t>el diseño de CRM ha permitido</w:t>
      </w:r>
      <w:r w:rsidR="00976FD8">
        <w:t xml:space="preserve"> en la región.</w:t>
      </w:r>
      <w:r>
        <w:t xml:space="preserve"> </w:t>
      </w:r>
    </w:p>
    <w:p w:rsidR="00894BC1" w:rsidRDefault="00976FD8" w:rsidP="006C1A63">
      <w:pPr>
        <w:jc w:val="both"/>
      </w:pPr>
      <w:r>
        <w:t>Bajo la anterior premisa, l</w:t>
      </w:r>
      <w:r w:rsidR="00894BC1">
        <w:t xml:space="preserve">a participación de sociedad civil en el espacio de dialogo intergubernamental </w:t>
      </w:r>
      <w:r>
        <w:t xml:space="preserve"> </w:t>
      </w:r>
      <w:r w:rsidR="00894BC1">
        <w:t xml:space="preserve">no solo es enriquecedora sino también </w:t>
      </w:r>
      <w:r>
        <w:t xml:space="preserve">se constituye </w:t>
      </w:r>
      <w:r w:rsidR="00894BC1">
        <w:t xml:space="preserve">es una característica importante </w:t>
      </w:r>
      <w:r>
        <w:t xml:space="preserve">y singular  que no se registra en </w:t>
      </w:r>
      <w:r w:rsidR="00894BC1">
        <w:t xml:space="preserve"> otros esfuerzos similares en otr</w:t>
      </w:r>
      <w:r>
        <w:t>as regiones</w:t>
      </w:r>
      <w:r w:rsidR="00894BC1">
        <w:t xml:space="preserve"> y que, </w:t>
      </w:r>
      <w:r w:rsidR="00894BC1">
        <w:lastRenderedPageBreak/>
        <w:t>según se ha e</w:t>
      </w:r>
      <w:r w:rsidR="000C0C5F">
        <w:t>xpresado en importantes foros</w:t>
      </w:r>
      <w:r w:rsidR="00894BC1">
        <w:t xml:space="preserve"> internacional</w:t>
      </w:r>
      <w:r w:rsidR="000C0C5F">
        <w:t>es</w:t>
      </w:r>
      <w:r w:rsidR="00894BC1">
        <w:t xml:space="preserve">,  </w:t>
      </w:r>
      <w:r>
        <w:t xml:space="preserve">es </w:t>
      </w:r>
      <w:r w:rsidR="00894BC1">
        <w:t xml:space="preserve"> identifica</w:t>
      </w:r>
      <w:r>
        <w:t>da  como una</w:t>
      </w:r>
      <w:r w:rsidR="00894BC1">
        <w:t xml:space="preserve"> práctica digna de ser replicada. </w:t>
      </w:r>
    </w:p>
    <w:p w:rsidR="00976FD8" w:rsidRDefault="00976FD8" w:rsidP="006C1A63">
      <w:pPr>
        <w:jc w:val="both"/>
      </w:pPr>
      <w:r>
        <w:t>No obstante lo anterior, la RROCM quiere someter a la consideración de CRM la propuesta de continuar manteniendo vigente el mecanismo de grupo ad hoc, aprobado el año pasado,  mecanismo que durante el tiempo de funcionamiento, desde nuestra perspectiva, ofrece la posibilidad de  dar seguimiento  a importantes iniciativas</w:t>
      </w:r>
      <w:r w:rsidR="000A47D7">
        <w:t xml:space="preserve">,  </w:t>
      </w:r>
      <w:r>
        <w:t xml:space="preserve">para las que resultan insuficientes los dos encuentros que durante el año </w:t>
      </w:r>
      <w:r w:rsidR="000A47D7">
        <w:t xml:space="preserve">se convocan. </w:t>
      </w:r>
      <w:r>
        <w:t xml:space="preserve"> </w:t>
      </w:r>
    </w:p>
    <w:p w:rsidR="000A47D7" w:rsidRDefault="000A47D7" w:rsidP="006C1A63">
      <w:pPr>
        <w:jc w:val="both"/>
      </w:pPr>
      <w:r>
        <w:t xml:space="preserve">La RROCM quiere aprovechar esta comunicación para ratificar a la Presidencia Pro tempore,   a la Secretaria Técnica, y al resto de países participantes en la CRM,  la definición de continuar acompañando la CRM bajo la modalidad de delegación sin pretender más la participación ampliada de nuestra membresía.  La decisión parte de evaluar que la programación de reuniones paralelas, normalmente cargadas de contenido y la pretensión de </w:t>
      </w:r>
      <w:r w:rsidR="000C0C5F">
        <w:t xml:space="preserve">simultáneamente </w:t>
      </w:r>
      <w:r>
        <w:t xml:space="preserve"> participar y dialogar sobre temas claves con la CRM no son compatibles, por ello y también por la limitación de recursos financieros, optamos por designar representantes que den seguimiento a los tema</w:t>
      </w:r>
      <w:r w:rsidR="00E63D8C">
        <w:t xml:space="preserve">s comunes. </w:t>
      </w:r>
    </w:p>
    <w:p w:rsidR="000A47D7" w:rsidRDefault="000A47D7" w:rsidP="006C1A63">
      <w:pPr>
        <w:jc w:val="both"/>
      </w:pPr>
      <w:r>
        <w:t xml:space="preserve">Como consecuencia de lo anterior, solicitamos a los países participantes de CRM abran a la participación de RROCM otros espacios </w:t>
      </w:r>
      <w:r w:rsidR="000C0C5F">
        <w:t>de la agenda que se consideren informativos o de  actualización de trabajos y cumplimiento del plan de acción</w:t>
      </w:r>
      <w:r>
        <w:t xml:space="preserve">, </w:t>
      </w:r>
      <w:r w:rsidR="00E63D8C">
        <w:t xml:space="preserve">ello con el propósito </w:t>
      </w:r>
      <w:r>
        <w:t xml:space="preserve">de </w:t>
      </w:r>
      <w:r w:rsidR="000C0C5F">
        <w:t xml:space="preserve">dar posibilidades a la retroalimentación y mayor </w:t>
      </w:r>
      <w:r>
        <w:t xml:space="preserve">oportunidad y pertinencia a los planteamientos trasladados por la RROCM.    </w:t>
      </w:r>
    </w:p>
    <w:p w:rsidR="00894BC1" w:rsidRDefault="000C0C5F" w:rsidP="006C1A63">
      <w:pPr>
        <w:jc w:val="both"/>
      </w:pPr>
      <w:r>
        <w:t xml:space="preserve">Lo anterior sin duda, no descarta los diálogos nacionales y permanentes  que nuestros miembros deban sostener con los puntos focales de CRM y otros funcionarios relevantes en los once países miembros de la CRM, y ello forma parte de las tareas permanentes de la RROCM.   </w:t>
      </w:r>
    </w:p>
    <w:p w:rsidR="000C0C5F" w:rsidRDefault="000C0C5F" w:rsidP="006C1A63">
      <w:pPr>
        <w:jc w:val="both"/>
      </w:pPr>
      <w:r>
        <w:t xml:space="preserve">Sin más que agregar, deseándoles éxitos en la reunión que celebran en la ciudad de México y  esperando encontrarnos durante la próxima CRM, nos suscribimos de Ustedes, </w:t>
      </w:r>
    </w:p>
    <w:p w:rsidR="000C0C5F" w:rsidRDefault="000C0C5F" w:rsidP="006C1A63">
      <w:pPr>
        <w:jc w:val="both"/>
      </w:pPr>
    </w:p>
    <w:p w:rsidR="000C0C5F" w:rsidRDefault="000C0C5F" w:rsidP="006C1A63">
      <w:pPr>
        <w:jc w:val="both"/>
      </w:pPr>
      <w:r>
        <w:t xml:space="preserve">Atentamente </w:t>
      </w:r>
    </w:p>
    <w:p w:rsidR="000C0C5F" w:rsidRDefault="000C0C5F" w:rsidP="006C1A63">
      <w:pPr>
        <w:jc w:val="both"/>
      </w:pPr>
    </w:p>
    <w:p w:rsidR="000C0C5F" w:rsidRDefault="000C0C5F" w:rsidP="006C1A63">
      <w:pPr>
        <w:jc w:val="both"/>
      </w:pPr>
      <w:r>
        <w:t xml:space="preserve">Comité Ejecutivo RROCM </w:t>
      </w:r>
    </w:p>
    <w:p w:rsidR="000C0C5F" w:rsidRDefault="000C0C5F" w:rsidP="006C1A63">
      <w:pPr>
        <w:jc w:val="both"/>
      </w:pPr>
      <w:r>
        <w:t xml:space="preserve">Gabriela Rodríguez – Costa Rica </w:t>
      </w:r>
    </w:p>
    <w:p w:rsidR="000C0C5F" w:rsidRDefault="000C0C5F" w:rsidP="006C1A63">
      <w:pPr>
        <w:jc w:val="both"/>
      </w:pPr>
      <w:r>
        <w:t xml:space="preserve">Gilma Pérez- Secretaria Técnica El Salvador </w:t>
      </w:r>
    </w:p>
    <w:p w:rsidR="000C0C5F" w:rsidRDefault="000C0C5F" w:rsidP="006C1A63">
      <w:pPr>
        <w:jc w:val="both"/>
      </w:pPr>
      <w:r>
        <w:t xml:space="preserve">William Charpantier- República Dominicana. </w:t>
      </w:r>
    </w:p>
    <w:sectPr w:rsidR="000C0C5F" w:rsidSect="00726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7094"/>
    <w:multiLevelType w:val="hybridMultilevel"/>
    <w:tmpl w:val="A89C0AAC"/>
    <w:lvl w:ilvl="0" w:tplc="440A000F">
      <w:start w:val="1"/>
      <w:numFmt w:val="decimal"/>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
    <w:nsid w:val="7975614D"/>
    <w:multiLevelType w:val="hybridMultilevel"/>
    <w:tmpl w:val="24146F1E"/>
    <w:lvl w:ilvl="0" w:tplc="440A000F">
      <w:start w:val="1"/>
      <w:numFmt w:val="decimal"/>
      <w:lvlText w:val="%1."/>
      <w:lvlJc w:val="left"/>
      <w:pPr>
        <w:ind w:left="720" w:hanging="360"/>
      </w:pPr>
      <w:rPr>
        <w:rFonts w:cs="Times New Roman"/>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9F"/>
    <w:rsid w:val="000A47D7"/>
    <w:rsid w:val="000C0C5F"/>
    <w:rsid w:val="00106ED7"/>
    <w:rsid w:val="00186179"/>
    <w:rsid w:val="001C54E3"/>
    <w:rsid w:val="001C6C0A"/>
    <w:rsid w:val="00250294"/>
    <w:rsid w:val="00357C9B"/>
    <w:rsid w:val="003933BB"/>
    <w:rsid w:val="00445975"/>
    <w:rsid w:val="004856B0"/>
    <w:rsid w:val="00496BB9"/>
    <w:rsid w:val="004A4545"/>
    <w:rsid w:val="004D4153"/>
    <w:rsid w:val="005C51AD"/>
    <w:rsid w:val="006242BE"/>
    <w:rsid w:val="00655F5F"/>
    <w:rsid w:val="006607A4"/>
    <w:rsid w:val="006C1A63"/>
    <w:rsid w:val="00726000"/>
    <w:rsid w:val="00766BC0"/>
    <w:rsid w:val="00795C2A"/>
    <w:rsid w:val="007C284E"/>
    <w:rsid w:val="00813127"/>
    <w:rsid w:val="00844522"/>
    <w:rsid w:val="00887431"/>
    <w:rsid w:val="008939BF"/>
    <w:rsid w:val="00894BC1"/>
    <w:rsid w:val="008E5FCF"/>
    <w:rsid w:val="00976FD8"/>
    <w:rsid w:val="00993645"/>
    <w:rsid w:val="009948C2"/>
    <w:rsid w:val="009D0B04"/>
    <w:rsid w:val="00A0479A"/>
    <w:rsid w:val="00A229E1"/>
    <w:rsid w:val="00A9379F"/>
    <w:rsid w:val="00B205BA"/>
    <w:rsid w:val="00B844AC"/>
    <w:rsid w:val="00BB38DC"/>
    <w:rsid w:val="00BF5372"/>
    <w:rsid w:val="00C22C34"/>
    <w:rsid w:val="00C42C78"/>
    <w:rsid w:val="00D02463"/>
    <w:rsid w:val="00D41F2C"/>
    <w:rsid w:val="00E63D8C"/>
    <w:rsid w:val="00E90C8B"/>
    <w:rsid w:val="00ED74DB"/>
    <w:rsid w:val="00F21B90"/>
    <w:rsid w:val="00F323C9"/>
    <w:rsid w:val="00FE4E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00"/>
    <w:pPr>
      <w:spacing w:after="200" w:line="276" w:lineRule="auto"/>
    </w:pPr>
    <w:rPr>
      <w:lang w:val="es-SV"/>
    </w:rPr>
  </w:style>
  <w:style w:type="paragraph" w:styleId="Heading4">
    <w:name w:val="heading 4"/>
    <w:basedOn w:val="Normal"/>
    <w:next w:val="Normal"/>
    <w:link w:val="Heading4Char"/>
    <w:uiPriority w:val="99"/>
    <w:qFormat/>
    <w:rsid w:val="00844522"/>
    <w:pPr>
      <w:keepNext/>
      <w:spacing w:after="0" w:line="240" w:lineRule="auto"/>
      <w:jc w:val="center"/>
      <w:outlineLvl w:val="3"/>
    </w:pPr>
    <w:rPr>
      <w:rFonts w:ascii="Arial Black" w:eastAsia="Times New Roman" w:hAnsi="Arial Black" w:cs="Arial"/>
      <w:b/>
      <w:i/>
      <w:sz w:val="5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44522"/>
    <w:rPr>
      <w:rFonts w:ascii="Arial Black" w:hAnsi="Arial Black" w:cs="Arial"/>
      <w:b/>
      <w:i/>
      <w:sz w:val="20"/>
      <w:szCs w:val="20"/>
      <w:lang w:eastAsia="es-ES"/>
    </w:rPr>
  </w:style>
  <w:style w:type="paragraph" w:styleId="ListParagraph">
    <w:name w:val="List Paragraph"/>
    <w:basedOn w:val="Normal"/>
    <w:uiPriority w:val="99"/>
    <w:qFormat/>
    <w:rsid w:val="006C1A63"/>
    <w:pPr>
      <w:ind w:left="720"/>
      <w:contextualSpacing/>
    </w:pPr>
  </w:style>
  <w:style w:type="table" w:styleId="TableGrid">
    <w:name w:val="Table Grid"/>
    <w:basedOn w:val="TableNormal"/>
    <w:uiPriority w:val="99"/>
    <w:rsid w:val="00F21B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1B90"/>
    <w:rPr>
      <w:rFonts w:cs="Times New Roman"/>
      <w:color w:val="0000FF"/>
      <w:u w:val="single"/>
    </w:rPr>
  </w:style>
  <w:style w:type="paragraph" w:styleId="BalloonText">
    <w:name w:val="Balloon Text"/>
    <w:basedOn w:val="Normal"/>
    <w:link w:val="BalloonTextChar"/>
    <w:uiPriority w:val="99"/>
    <w:semiHidden/>
    <w:rsid w:val="0084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00"/>
    <w:pPr>
      <w:spacing w:after="200" w:line="276" w:lineRule="auto"/>
    </w:pPr>
    <w:rPr>
      <w:lang w:val="es-SV"/>
    </w:rPr>
  </w:style>
  <w:style w:type="paragraph" w:styleId="Heading4">
    <w:name w:val="heading 4"/>
    <w:basedOn w:val="Normal"/>
    <w:next w:val="Normal"/>
    <w:link w:val="Heading4Char"/>
    <w:uiPriority w:val="99"/>
    <w:qFormat/>
    <w:rsid w:val="00844522"/>
    <w:pPr>
      <w:keepNext/>
      <w:spacing w:after="0" w:line="240" w:lineRule="auto"/>
      <w:jc w:val="center"/>
      <w:outlineLvl w:val="3"/>
    </w:pPr>
    <w:rPr>
      <w:rFonts w:ascii="Arial Black" w:eastAsia="Times New Roman" w:hAnsi="Arial Black" w:cs="Arial"/>
      <w:b/>
      <w:i/>
      <w:sz w:val="5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44522"/>
    <w:rPr>
      <w:rFonts w:ascii="Arial Black" w:hAnsi="Arial Black" w:cs="Arial"/>
      <w:b/>
      <w:i/>
      <w:sz w:val="20"/>
      <w:szCs w:val="20"/>
      <w:lang w:eastAsia="es-ES"/>
    </w:rPr>
  </w:style>
  <w:style w:type="paragraph" w:styleId="ListParagraph">
    <w:name w:val="List Paragraph"/>
    <w:basedOn w:val="Normal"/>
    <w:uiPriority w:val="99"/>
    <w:qFormat/>
    <w:rsid w:val="006C1A63"/>
    <w:pPr>
      <w:ind w:left="720"/>
      <w:contextualSpacing/>
    </w:pPr>
  </w:style>
  <w:style w:type="table" w:styleId="TableGrid">
    <w:name w:val="Table Grid"/>
    <w:basedOn w:val="TableNormal"/>
    <w:uiPriority w:val="99"/>
    <w:rsid w:val="00F21B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1B90"/>
    <w:rPr>
      <w:rFonts w:cs="Times New Roman"/>
      <w:color w:val="0000FF"/>
      <w:u w:val="single"/>
    </w:rPr>
  </w:style>
  <w:style w:type="paragraph" w:styleId="BalloonText">
    <w:name w:val="Balloon Text"/>
    <w:basedOn w:val="Normal"/>
    <w:link w:val="BalloonTextChar"/>
    <w:uiPriority w:val="99"/>
    <w:semiHidden/>
    <w:rsid w:val="00844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Peréz</dc:creator>
  <cp:lastModifiedBy>CON Ana Paola</cp:lastModifiedBy>
  <cp:revision>2</cp:revision>
  <dcterms:created xsi:type="dcterms:W3CDTF">2017-03-14T15:28:00Z</dcterms:created>
  <dcterms:modified xsi:type="dcterms:W3CDTF">2017-03-14T15:28:00Z</dcterms:modified>
</cp:coreProperties>
</file>