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973" w:rsidRPr="00BD07AE" w:rsidRDefault="00260973" w:rsidP="00260973">
      <w:pPr>
        <w:jc w:val="both"/>
      </w:pPr>
    </w:p>
    <w:p w:rsidR="007F0533" w:rsidRPr="00BD07AE" w:rsidRDefault="007E0484" w:rsidP="007F0533">
      <w:pPr>
        <w:spacing w:after="0" w:line="240" w:lineRule="auto"/>
        <w:jc w:val="center"/>
        <w:rPr>
          <w:rFonts w:ascii="Arial" w:hAnsi="Arial" w:cs="Arial"/>
          <w:b/>
        </w:rPr>
      </w:pPr>
      <w:r w:rsidRPr="00BD07AE">
        <w:rPr>
          <w:rFonts w:ascii="Arial" w:hAnsi="Arial" w:cs="Arial"/>
          <w:b/>
        </w:rPr>
        <w:t xml:space="preserve">PLENARY MEETING OF THE </w:t>
      </w:r>
    </w:p>
    <w:p w:rsidR="007F0533" w:rsidRPr="00BD07AE" w:rsidRDefault="007F0533" w:rsidP="007F0533">
      <w:pPr>
        <w:spacing w:after="0" w:line="240" w:lineRule="auto"/>
        <w:jc w:val="center"/>
        <w:rPr>
          <w:rFonts w:ascii="Arial" w:hAnsi="Arial" w:cs="Arial"/>
          <w:b/>
        </w:rPr>
      </w:pPr>
      <w:r w:rsidRPr="00BD07AE">
        <w:rPr>
          <w:rFonts w:ascii="Arial" w:hAnsi="Arial" w:cs="Arial"/>
          <w:b/>
        </w:rPr>
        <w:t xml:space="preserve"> </w:t>
      </w:r>
      <w:r w:rsidR="007E0484" w:rsidRPr="00BD07AE">
        <w:rPr>
          <w:rFonts w:ascii="Arial" w:hAnsi="Arial" w:cs="Arial"/>
          <w:b/>
        </w:rPr>
        <w:t xml:space="preserve">REGIONAL </w:t>
      </w:r>
      <w:r w:rsidRPr="00BD07AE">
        <w:rPr>
          <w:rFonts w:ascii="Arial" w:hAnsi="Arial" w:cs="Arial"/>
          <w:b/>
        </w:rPr>
        <w:t>CONFERENC</w:t>
      </w:r>
      <w:r w:rsidR="007E0484" w:rsidRPr="00BD07AE">
        <w:rPr>
          <w:rFonts w:ascii="Arial" w:hAnsi="Arial" w:cs="Arial"/>
          <w:b/>
        </w:rPr>
        <w:t xml:space="preserve">E ON MIGRATION </w:t>
      </w:r>
      <w:r w:rsidRPr="00BD07AE">
        <w:rPr>
          <w:rFonts w:ascii="Arial" w:hAnsi="Arial" w:cs="Arial"/>
          <w:b/>
        </w:rPr>
        <w:t>(R</w:t>
      </w:r>
      <w:r w:rsidR="007E0484" w:rsidRPr="00BD07AE">
        <w:rPr>
          <w:rFonts w:ascii="Arial" w:hAnsi="Arial" w:cs="Arial"/>
          <w:b/>
        </w:rPr>
        <w:t>C</w:t>
      </w:r>
      <w:r w:rsidRPr="00BD07AE">
        <w:rPr>
          <w:rFonts w:ascii="Arial" w:hAnsi="Arial" w:cs="Arial"/>
          <w:b/>
        </w:rPr>
        <w:t xml:space="preserve">M) </w:t>
      </w:r>
      <w:r w:rsidR="007E0484" w:rsidRPr="00BD07AE">
        <w:rPr>
          <w:rFonts w:ascii="Arial" w:hAnsi="Arial" w:cs="Arial"/>
          <w:b/>
        </w:rPr>
        <w:t xml:space="preserve">AND THE </w:t>
      </w:r>
    </w:p>
    <w:p w:rsidR="007F0533" w:rsidRPr="00BD07AE" w:rsidRDefault="007E0484" w:rsidP="007F0533">
      <w:pPr>
        <w:spacing w:after="0" w:line="240" w:lineRule="auto"/>
        <w:jc w:val="center"/>
        <w:rPr>
          <w:rFonts w:ascii="Arial" w:hAnsi="Arial" w:cs="Arial"/>
          <w:b/>
        </w:rPr>
      </w:pPr>
      <w:r w:rsidRPr="00BD07AE">
        <w:rPr>
          <w:rFonts w:ascii="Arial" w:hAnsi="Arial" w:cs="Arial"/>
          <w:b/>
        </w:rPr>
        <w:t xml:space="preserve">SOUTH-AMERICAN CONFERENCE ON MIGRATION </w:t>
      </w:r>
      <w:r w:rsidR="007F0533" w:rsidRPr="00BD07AE">
        <w:rPr>
          <w:rFonts w:ascii="Arial" w:hAnsi="Arial" w:cs="Arial"/>
          <w:b/>
        </w:rPr>
        <w:t>(SACM)</w:t>
      </w:r>
    </w:p>
    <w:p w:rsidR="007F0533" w:rsidRPr="00BD07AE" w:rsidRDefault="007F0533" w:rsidP="007F0533">
      <w:pPr>
        <w:pStyle w:val="Sinespaciado"/>
        <w:jc w:val="center"/>
        <w:rPr>
          <w:rFonts w:ascii="Arial" w:hAnsi="Arial" w:cs="Arial"/>
          <w:b/>
          <w:u w:val="single"/>
          <w:lang w:val="en-US"/>
        </w:rPr>
      </w:pPr>
    </w:p>
    <w:p w:rsidR="007F0533" w:rsidRPr="00BD07AE" w:rsidRDefault="007F0533" w:rsidP="007F0533">
      <w:pPr>
        <w:pStyle w:val="Sinespaciado"/>
        <w:jc w:val="center"/>
        <w:rPr>
          <w:rFonts w:ascii="Arial" w:hAnsi="Arial" w:cs="Arial"/>
          <w:b/>
          <w:lang w:val="en-US"/>
        </w:rPr>
      </w:pPr>
      <w:r w:rsidRPr="00BD07AE">
        <w:rPr>
          <w:rFonts w:ascii="Arial" w:hAnsi="Arial" w:cs="Arial"/>
          <w:b/>
          <w:lang w:val="en-US"/>
        </w:rPr>
        <w:t xml:space="preserve">8 </w:t>
      </w:r>
      <w:r w:rsidR="007E0484" w:rsidRPr="00BD07AE">
        <w:rPr>
          <w:rFonts w:ascii="Arial" w:hAnsi="Arial" w:cs="Arial"/>
          <w:b/>
          <w:lang w:val="en-US"/>
        </w:rPr>
        <w:t>-</w:t>
      </w:r>
      <w:r w:rsidRPr="00BD07AE">
        <w:rPr>
          <w:rFonts w:ascii="Arial" w:hAnsi="Arial" w:cs="Arial"/>
          <w:b/>
          <w:lang w:val="en-US"/>
        </w:rPr>
        <w:t xml:space="preserve"> 9 </w:t>
      </w:r>
      <w:r w:rsidR="007E0484" w:rsidRPr="00BD07AE">
        <w:rPr>
          <w:rFonts w:ascii="Arial" w:hAnsi="Arial" w:cs="Arial"/>
          <w:b/>
          <w:lang w:val="en-US"/>
        </w:rPr>
        <w:t xml:space="preserve">May </w:t>
      </w:r>
      <w:r w:rsidRPr="00BD07AE">
        <w:rPr>
          <w:rFonts w:ascii="Arial" w:hAnsi="Arial" w:cs="Arial"/>
          <w:b/>
          <w:lang w:val="en-US"/>
        </w:rPr>
        <w:t>2018, Montevideo, Uruguay</w:t>
      </w:r>
    </w:p>
    <w:p w:rsidR="007F0533" w:rsidRPr="00BD07AE" w:rsidRDefault="007E0484" w:rsidP="007F0533">
      <w:pPr>
        <w:pStyle w:val="Sinespaciado"/>
        <w:jc w:val="center"/>
        <w:rPr>
          <w:rFonts w:ascii="Arial" w:hAnsi="Arial" w:cs="Arial"/>
          <w:lang w:val="en-US"/>
        </w:rPr>
      </w:pPr>
      <w:r w:rsidRPr="00BD07AE">
        <w:rPr>
          <w:rFonts w:ascii="Arial" w:hAnsi="Arial" w:cs="Arial"/>
          <w:lang w:val="en-US"/>
        </w:rPr>
        <w:t>Venue</w:t>
      </w:r>
      <w:r w:rsidR="007F0533" w:rsidRPr="00BD07AE">
        <w:rPr>
          <w:rFonts w:ascii="Arial" w:hAnsi="Arial" w:cs="Arial"/>
          <w:lang w:val="en-US"/>
        </w:rPr>
        <w:t xml:space="preserve">: Salón de Actos la </w:t>
      </w:r>
      <w:proofErr w:type="spellStart"/>
      <w:r w:rsidR="007F0533" w:rsidRPr="00BD07AE">
        <w:rPr>
          <w:rFonts w:ascii="Arial" w:hAnsi="Arial" w:cs="Arial"/>
          <w:lang w:val="en-US"/>
        </w:rPr>
        <w:t>Asociación</w:t>
      </w:r>
      <w:proofErr w:type="spellEnd"/>
      <w:r w:rsidR="007F0533" w:rsidRPr="00BD07AE">
        <w:rPr>
          <w:rFonts w:ascii="Arial" w:hAnsi="Arial" w:cs="Arial"/>
          <w:lang w:val="en-US"/>
        </w:rPr>
        <w:t xml:space="preserve"> </w:t>
      </w:r>
      <w:proofErr w:type="spellStart"/>
      <w:r w:rsidR="007F0533" w:rsidRPr="00BD07AE">
        <w:rPr>
          <w:rFonts w:ascii="Arial" w:hAnsi="Arial" w:cs="Arial"/>
          <w:lang w:val="en-US"/>
        </w:rPr>
        <w:t>Latinoamericana</w:t>
      </w:r>
      <w:proofErr w:type="spellEnd"/>
      <w:r w:rsidR="007F0533" w:rsidRPr="00BD07AE">
        <w:rPr>
          <w:rFonts w:ascii="Arial" w:hAnsi="Arial" w:cs="Arial"/>
          <w:lang w:val="en-US"/>
        </w:rPr>
        <w:t xml:space="preserve"> de </w:t>
      </w:r>
      <w:proofErr w:type="spellStart"/>
      <w:r w:rsidR="007F0533" w:rsidRPr="00BD07AE">
        <w:rPr>
          <w:rFonts w:ascii="Arial" w:hAnsi="Arial" w:cs="Arial"/>
          <w:lang w:val="en-US"/>
        </w:rPr>
        <w:t>Integración</w:t>
      </w:r>
      <w:proofErr w:type="spellEnd"/>
      <w:r w:rsidR="007F0533" w:rsidRPr="00BD07AE">
        <w:rPr>
          <w:rFonts w:ascii="Arial" w:hAnsi="Arial" w:cs="Arial"/>
          <w:lang w:val="en-US"/>
        </w:rPr>
        <w:t xml:space="preserve"> (ALADI)</w:t>
      </w:r>
    </w:p>
    <w:p w:rsidR="007F0533" w:rsidRPr="00BD07AE" w:rsidRDefault="007F0533" w:rsidP="00260973">
      <w:pPr>
        <w:jc w:val="both"/>
      </w:pPr>
    </w:p>
    <w:p w:rsidR="007E0484" w:rsidRPr="00BD07AE" w:rsidRDefault="007E0484" w:rsidP="00260973">
      <w:pPr>
        <w:jc w:val="both"/>
      </w:pPr>
      <w:r w:rsidRPr="00BD07AE">
        <w:t xml:space="preserve">The Plenary Meeting between the Regional Conference on Migration (RCM) and the South-American Conference on Migration (SACM) was held on 8-9 May 2018, with the participation of the following countries from both processes: the Republic of Argentina, </w:t>
      </w:r>
      <w:proofErr w:type="spellStart"/>
      <w:r w:rsidRPr="00BD07AE">
        <w:t>Belice</w:t>
      </w:r>
      <w:proofErr w:type="spellEnd"/>
      <w:r w:rsidRPr="00BD07AE">
        <w:t xml:space="preserve">, the </w:t>
      </w:r>
      <w:proofErr w:type="spellStart"/>
      <w:r w:rsidRPr="00BD07AE">
        <w:t>Plurinational</w:t>
      </w:r>
      <w:proofErr w:type="spellEnd"/>
      <w:r w:rsidRPr="00BD07AE">
        <w:t xml:space="preserve"> State of Bolivia, the Federative Republic of Brazil, Canada, the Republic of Chile, Costa Rica, the Republic of Colombia, the Republic of Ecuador, El Salvador, United States, Guatemala, Honduras, Mexico, Nicaragua, Panama, the Republic of Paraguay, the Republic of Peru, the Dominican Republic, the Oriental Republic of Uruguay and the Bolivarian Republic of Venezuela.</w:t>
      </w:r>
    </w:p>
    <w:p w:rsidR="00692591" w:rsidRPr="00BD07AE" w:rsidRDefault="00FD3980" w:rsidP="00260973">
      <w:pPr>
        <w:jc w:val="both"/>
        <w:rPr>
          <w:b/>
        </w:rPr>
      </w:pPr>
      <w:r w:rsidRPr="00BD07AE">
        <w:rPr>
          <w:b/>
        </w:rPr>
        <w:t>SUMMARY OF TOPICS ADDRESSED DURING DAY 1</w:t>
      </w:r>
    </w:p>
    <w:p w:rsidR="006E75CB" w:rsidRPr="00BD07AE" w:rsidRDefault="00FD3980" w:rsidP="00260973">
      <w:pPr>
        <w:jc w:val="both"/>
        <w:rPr>
          <w:b/>
        </w:rPr>
      </w:pPr>
      <w:r w:rsidRPr="00BD07AE">
        <w:rPr>
          <w:b/>
        </w:rPr>
        <w:t>Part</w:t>
      </w:r>
      <w:r w:rsidR="006E75CB" w:rsidRPr="00BD07AE">
        <w:rPr>
          <w:b/>
        </w:rPr>
        <w:t xml:space="preserve"> 1:</w:t>
      </w:r>
      <w:r w:rsidR="00C01BEC" w:rsidRPr="00BD07AE">
        <w:rPr>
          <w:b/>
        </w:rPr>
        <w:t xml:space="preserve"> </w:t>
      </w:r>
      <w:r w:rsidRPr="00BD07AE">
        <w:rPr>
          <w:b/>
        </w:rPr>
        <w:t xml:space="preserve">Global Compact for Safe, Orderly and Regular Migration </w:t>
      </w:r>
    </w:p>
    <w:p w:rsidR="00FD3980" w:rsidRPr="00BD07AE" w:rsidRDefault="00FD3980" w:rsidP="00260973">
      <w:pPr>
        <w:jc w:val="both"/>
      </w:pPr>
      <w:r w:rsidRPr="00BD07AE">
        <w:t>During the dialogue on the development of the Global Compact for Safe, Orderly and Regular Migration, both processes recognized aspects in common identified in the Declarations of the RCM and the SACM, in the Special Vice-Ministerial Declaration and in the Lima Declaration.</w:t>
      </w:r>
    </w:p>
    <w:p w:rsidR="00FD3980" w:rsidRPr="00BD07AE" w:rsidRDefault="00FD3980" w:rsidP="00260973">
      <w:pPr>
        <w:jc w:val="both"/>
      </w:pPr>
      <w:r w:rsidRPr="00BD07AE">
        <w:t>Some delegations identified the following elements:</w:t>
      </w:r>
    </w:p>
    <w:p w:rsidR="00FD3980" w:rsidRPr="00BD07AE" w:rsidRDefault="00FD3980" w:rsidP="00FD3980">
      <w:pPr>
        <w:pStyle w:val="Prrafodelista"/>
        <w:numPr>
          <w:ilvl w:val="0"/>
          <w:numId w:val="2"/>
        </w:numPr>
        <w:jc w:val="both"/>
      </w:pPr>
      <w:r w:rsidRPr="00BD07AE">
        <w:t>Protection and promotion of human rights as one of the cornerstones of the Pact.</w:t>
      </w:r>
    </w:p>
    <w:p w:rsidR="00FD3980" w:rsidRPr="00BD07AE" w:rsidRDefault="00FD3980" w:rsidP="00FD3980">
      <w:pPr>
        <w:pStyle w:val="Prrafodelista"/>
        <w:numPr>
          <w:ilvl w:val="0"/>
          <w:numId w:val="2"/>
        </w:numPr>
        <w:jc w:val="both"/>
      </w:pPr>
      <w:r w:rsidRPr="00BD07AE">
        <w:t>International cooperation</w:t>
      </w:r>
    </w:p>
    <w:p w:rsidR="00FD3980" w:rsidRPr="00BD07AE" w:rsidRDefault="00FD3980" w:rsidP="00FD3980">
      <w:pPr>
        <w:pStyle w:val="Prrafodelista"/>
        <w:numPr>
          <w:ilvl w:val="0"/>
          <w:numId w:val="2"/>
        </w:numPr>
        <w:jc w:val="both"/>
      </w:pPr>
      <w:r w:rsidRPr="00BD07AE">
        <w:t>Governance</w:t>
      </w:r>
      <w:r w:rsidRPr="00BD07AE">
        <w:t xml:space="preserve"> of m</w:t>
      </w:r>
      <w:r w:rsidRPr="00BD07AE">
        <w:t>igrat</w:t>
      </w:r>
      <w:r w:rsidRPr="00BD07AE">
        <w:t>ion</w:t>
      </w:r>
    </w:p>
    <w:p w:rsidR="00FD3980" w:rsidRPr="00BD07AE" w:rsidRDefault="00FD3980" w:rsidP="00FD3980">
      <w:pPr>
        <w:pStyle w:val="Prrafodelista"/>
        <w:numPr>
          <w:ilvl w:val="0"/>
          <w:numId w:val="2"/>
        </w:numPr>
        <w:jc w:val="both"/>
      </w:pPr>
      <w:r w:rsidRPr="00BD07AE">
        <w:t>Non-criminalization of irregular migration and non-discrimination as guiding principles of the</w:t>
      </w:r>
      <w:r w:rsidRPr="00BD07AE">
        <w:t xml:space="preserve"> Compact</w:t>
      </w:r>
      <w:r w:rsidRPr="00BD07AE">
        <w:t>.</w:t>
      </w:r>
    </w:p>
    <w:p w:rsidR="00FD3980" w:rsidRPr="00BD07AE" w:rsidRDefault="00FD3980" w:rsidP="00FD3980">
      <w:pPr>
        <w:pStyle w:val="Prrafodelista"/>
        <w:numPr>
          <w:ilvl w:val="0"/>
          <w:numId w:val="2"/>
        </w:numPr>
        <w:jc w:val="both"/>
      </w:pPr>
      <w:r w:rsidRPr="00BD07AE">
        <w:t>Border security through proportional actions that do not violate the human rights of migrants, with respect for gender diversity.</w:t>
      </w:r>
    </w:p>
    <w:p w:rsidR="00FD3980" w:rsidRPr="00BD07AE" w:rsidRDefault="00FD3980" w:rsidP="00FD3980">
      <w:pPr>
        <w:pStyle w:val="Prrafodelista"/>
        <w:numPr>
          <w:ilvl w:val="0"/>
          <w:numId w:val="2"/>
        </w:numPr>
        <w:jc w:val="both"/>
      </w:pPr>
      <w:r w:rsidRPr="00BD07AE">
        <w:t xml:space="preserve">Protection of migrants in vulnerable </w:t>
      </w:r>
      <w:r w:rsidR="00CA41BB" w:rsidRPr="00BD07AE">
        <w:t>situations</w:t>
      </w:r>
      <w:r w:rsidRPr="00BD07AE">
        <w:t xml:space="preserve">, with emphasis on the protection of migrant children and adolescents. It is important to guarantee the well-being of people in vulnerable </w:t>
      </w:r>
      <w:r w:rsidR="00CA41BB" w:rsidRPr="00BD07AE">
        <w:t>situations</w:t>
      </w:r>
      <w:r w:rsidRPr="00BD07AE">
        <w:t xml:space="preserve"> during all stages of migration, at the </w:t>
      </w:r>
      <w:r w:rsidR="00CA41BB" w:rsidRPr="00BD07AE">
        <w:t xml:space="preserve">places of </w:t>
      </w:r>
      <w:r w:rsidRPr="00BD07AE">
        <w:t>origin, transit, destination and return.</w:t>
      </w:r>
    </w:p>
    <w:p w:rsidR="00FD3980" w:rsidRPr="00BD07AE" w:rsidRDefault="00CA41BB" w:rsidP="00FD3980">
      <w:pPr>
        <w:pStyle w:val="Prrafodelista"/>
        <w:numPr>
          <w:ilvl w:val="0"/>
          <w:numId w:val="2"/>
        </w:numPr>
        <w:jc w:val="both"/>
      </w:pPr>
      <w:r w:rsidRPr="00BD07AE">
        <w:t>The f</w:t>
      </w:r>
      <w:r w:rsidR="00FD3980" w:rsidRPr="00BD07AE">
        <w:t xml:space="preserve">ight against xenophobia as one of the </w:t>
      </w:r>
      <w:r w:rsidRPr="00BD07AE">
        <w:t>topics</w:t>
      </w:r>
      <w:r w:rsidR="00FD3980" w:rsidRPr="00BD07AE">
        <w:t xml:space="preserve"> to be reinforced in the Pact, as well as mainstreaming, so that a policy of human mobility is carried out at the national and local levels.</w:t>
      </w:r>
    </w:p>
    <w:p w:rsidR="00FD3980" w:rsidRPr="00BD07AE" w:rsidRDefault="00CA41BB" w:rsidP="00FD3980">
      <w:pPr>
        <w:pStyle w:val="Prrafodelista"/>
        <w:numPr>
          <w:ilvl w:val="0"/>
          <w:numId w:val="2"/>
        </w:numPr>
        <w:jc w:val="both"/>
      </w:pPr>
      <w:r w:rsidRPr="00BD07AE">
        <w:t>N</w:t>
      </w:r>
      <w:r w:rsidR="00FD3980" w:rsidRPr="00BD07AE">
        <w:t xml:space="preserve">ot </w:t>
      </w:r>
      <w:r w:rsidRPr="00BD07AE">
        <w:t xml:space="preserve">to </w:t>
      </w:r>
      <w:r w:rsidR="00FD3980" w:rsidRPr="00BD07AE">
        <w:t xml:space="preserve">reduce the migrant population </w:t>
      </w:r>
      <w:proofErr w:type="gramStart"/>
      <w:r w:rsidRPr="00BD07AE">
        <w:t>as a result of</w:t>
      </w:r>
      <w:proofErr w:type="gramEnd"/>
      <w:r w:rsidRPr="00BD07AE">
        <w:t xml:space="preserve"> </w:t>
      </w:r>
      <w:r w:rsidR="00FD3980" w:rsidRPr="00BD07AE">
        <w:t>labor issues.</w:t>
      </w:r>
    </w:p>
    <w:p w:rsidR="00FD3980" w:rsidRPr="00BD07AE" w:rsidRDefault="00FD3980" w:rsidP="00FD3980">
      <w:pPr>
        <w:pStyle w:val="Prrafodelista"/>
        <w:numPr>
          <w:ilvl w:val="0"/>
          <w:numId w:val="2"/>
        </w:numPr>
        <w:jc w:val="both"/>
      </w:pPr>
      <w:r w:rsidRPr="00BD07AE">
        <w:t>Importance of specifying</w:t>
      </w:r>
      <w:r w:rsidR="00CA41BB" w:rsidRPr="00BD07AE">
        <w:t xml:space="preserve"> </w:t>
      </w:r>
      <w:r w:rsidR="00CA41BB" w:rsidRPr="00BD07AE">
        <w:t>concepts in the Pact</w:t>
      </w:r>
      <w:r w:rsidR="00CA41BB" w:rsidRPr="00BD07AE">
        <w:t xml:space="preserve"> as needed</w:t>
      </w:r>
      <w:r w:rsidRPr="00BD07AE">
        <w:t>, such as regular migration and irregular migration</w:t>
      </w:r>
      <w:r w:rsidR="00CA41BB" w:rsidRPr="00BD07AE">
        <w:t xml:space="preserve"> and the</w:t>
      </w:r>
      <w:r w:rsidRPr="00BD07AE">
        <w:t xml:space="preserve"> differences between migrant and refugee. It is necessary to emphasize the importance of regularization channels</w:t>
      </w:r>
      <w:r w:rsidR="00CA41BB" w:rsidRPr="00BD07AE">
        <w:t xml:space="preserve"> to </w:t>
      </w:r>
      <w:r w:rsidRPr="00BD07AE">
        <w:t>"</w:t>
      </w:r>
      <w:r w:rsidR="00CA41BB" w:rsidRPr="00BD07AE">
        <w:t>leave no one behind</w:t>
      </w:r>
      <w:r w:rsidRPr="00BD07AE">
        <w:t>", in the spirit of the 2030 Agenda.</w:t>
      </w:r>
    </w:p>
    <w:p w:rsidR="00FD3980" w:rsidRPr="00BD07AE" w:rsidRDefault="00FD3980" w:rsidP="00FD3980">
      <w:pPr>
        <w:pStyle w:val="Prrafodelista"/>
        <w:numPr>
          <w:ilvl w:val="0"/>
          <w:numId w:val="2"/>
        </w:numPr>
        <w:jc w:val="both"/>
      </w:pPr>
      <w:r w:rsidRPr="00BD07AE">
        <w:t xml:space="preserve">Highlight the experiences that can enrich how to implement the Pact, </w:t>
      </w:r>
      <w:r w:rsidR="00736592" w:rsidRPr="00BD07AE">
        <w:t>stressing</w:t>
      </w:r>
      <w:r w:rsidRPr="00BD07AE">
        <w:t xml:space="preserve"> the role of civil society, social movements, the private sector and diaspora organizations.</w:t>
      </w:r>
    </w:p>
    <w:p w:rsidR="00FD3980" w:rsidRPr="00BD07AE" w:rsidRDefault="00FD3980" w:rsidP="00FD3980">
      <w:pPr>
        <w:pStyle w:val="Prrafodelista"/>
        <w:numPr>
          <w:ilvl w:val="0"/>
          <w:numId w:val="2"/>
        </w:numPr>
        <w:jc w:val="both"/>
      </w:pPr>
      <w:r w:rsidRPr="00BD07AE">
        <w:t>Recognize the effort that has been made by the think</w:t>
      </w:r>
      <w:r w:rsidR="00190B8B" w:rsidRPr="00BD07AE">
        <w:t xml:space="preserve">-alike </w:t>
      </w:r>
      <w:r w:rsidRPr="00BD07AE">
        <w:t>group.</w:t>
      </w:r>
    </w:p>
    <w:p w:rsidR="00FD3980" w:rsidRPr="00BD07AE" w:rsidRDefault="00FD3980" w:rsidP="00FD3980">
      <w:pPr>
        <w:pStyle w:val="Prrafodelista"/>
        <w:numPr>
          <w:ilvl w:val="0"/>
          <w:numId w:val="2"/>
        </w:numPr>
        <w:jc w:val="both"/>
      </w:pPr>
      <w:r w:rsidRPr="00BD07AE">
        <w:lastRenderedPageBreak/>
        <w:t>The responsibility of the States in their role of implementing the Pact and the technical work and collaboration of the IOM, as well as its role in the implementation of the Pact.</w:t>
      </w:r>
    </w:p>
    <w:p w:rsidR="00FD3980" w:rsidRPr="00BD07AE" w:rsidRDefault="00FD3980" w:rsidP="00190B8B">
      <w:pPr>
        <w:pStyle w:val="Prrafodelista"/>
        <w:numPr>
          <w:ilvl w:val="1"/>
          <w:numId w:val="2"/>
        </w:numPr>
        <w:jc w:val="both"/>
      </w:pPr>
      <w:r w:rsidRPr="00BD07AE">
        <w:t xml:space="preserve">Recognize the need for coordination of all agencies within the United Nations, including IOM, to generate synergies and </w:t>
      </w:r>
      <w:r w:rsidR="00190B8B" w:rsidRPr="00BD07AE">
        <w:t xml:space="preserve">a </w:t>
      </w:r>
      <w:r w:rsidRPr="00BD07AE">
        <w:t xml:space="preserve">better implementation of the </w:t>
      </w:r>
      <w:r w:rsidR="00190B8B" w:rsidRPr="00BD07AE">
        <w:t>Compact</w:t>
      </w:r>
      <w:r w:rsidRPr="00BD07AE">
        <w:t>.</w:t>
      </w:r>
    </w:p>
    <w:p w:rsidR="00FD3980" w:rsidRPr="00BD07AE" w:rsidRDefault="00FD3980" w:rsidP="00FD3980">
      <w:pPr>
        <w:pStyle w:val="Prrafodelista"/>
        <w:numPr>
          <w:ilvl w:val="0"/>
          <w:numId w:val="2"/>
        </w:numPr>
        <w:jc w:val="both"/>
      </w:pPr>
      <w:r w:rsidRPr="00BD07AE">
        <w:t xml:space="preserve">Examples of good practices derived from the elements contained in the </w:t>
      </w:r>
      <w:r w:rsidR="00190B8B" w:rsidRPr="00BD07AE">
        <w:t>New York</w:t>
      </w:r>
      <w:r w:rsidR="00190B8B" w:rsidRPr="00BD07AE">
        <w:t xml:space="preserve"> </w:t>
      </w:r>
      <w:r w:rsidRPr="00BD07AE">
        <w:t>Declaration.</w:t>
      </w:r>
    </w:p>
    <w:p w:rsidR="00A06090" w:rsidRPr="00BD07AE" w:rsidRDefault="00FD3980" w:rsidP="00FD3980">
      <w:pPr>
        <w:pStyle w:val="Prrafodelista"/>
        <w:numPr>
          <w:ilvl w:val="0"/>
          <w:numId w:val="2"/>
        </w:numPr>
        <w:jc w:val="both"/>
      </w:pPr>
      <w:r w:rsidRPr="00BD07AE">
        <w:t xml:space="preserve">The importance of complementarity between the </w:t>
      </w:r>
      <w:r w:rsidR="00190B8B" w:rsidRPr="00BD07AE">
        <w:t>Compacts on m</w:t>
      </w:r>
      <w:r w:rsidRPr="00BD07AE">
        <w:t xml:space="preserve">igration and </w:t>
      </w:r>
      <w:r w:rsidR="00190B8B" w:rsidRPr="00BD07AE">
        <w:t>r</w:t>
      </w:r>
      <w:r w:rsidRPr="00BD07AE">
        <w:t>efugee</w:t>
      </w:r>
      <w:r w:rsidR="00190B8B" w:rsidRPr="00BD07AE">
        <w:t>s</w:t>
      </w:r>
      <w:r w:rsidRPr="00BD07AE">
        <w:t xml:space="preserve"> was recognized.</w:t>
      </w:r>
    </w:p>
    <w:p w:rsidR="00692591" w:rsidRPr="00BD07AE" w:rsidRDefault="00190B8B" w:rsidP="00260973">
      <w:pPr>
        <w:jc w:val="both"/>
        <w:rPr>
          <w:b/>
        </w:rPr>
      </w:pPr>
      <w:r w:rsidRPr="00BD07AE">
        <w:rPr>
          <w:b/>
        </w:rPr>
        <w:t>Part</w:t>
      </w:r>
      <w:r w:rsidR="00692591" w:rsidRPr="00BD07AE">
        <w:rPr>
          <w:b/>
        </w:rPr>
        <w:t xml:space="preserve"> 2: </w:t>
      </w:r>
      <w:r w:rsidRPr="00BD07AE">
        <w:rPr>
          <w:b/>
        </w:rPr>
        <w:t>Spaces of convergence between RCM and SACM</w:t>
      </w:r>
    </w:p>
    <w:p w:rsidR="00B54347" w:rsidRPr="00BD07AE" w:rsidRDefault="00E83A41" w:rsidP="00260973">
      <w:pPr>
        <w:jc w:val="both"/>
      </w:pPr>
      <w:r w:rsidRPr="00BD07AE">
        <w:t>Lookin</w:t>
      </w:r>
      <w:r w:rsidR="00B54347" w:rsidRPr="00BD07AE">
        <w:t>g</w:t>
      </w:r>
      <w:r w:rsidRPr="00BD07AE">
        <w:t xml:space="preserve"> forward to the </w:t>
      </w:r>
      <w:r w:rsidR="00B54347" w:rsidRPr="00BD07AE">
        <w:t xml:space="preserve">future </w:t>
      </w:r>
      <w:r w:rsidRPr="00BD07AE">
        <w:t xml:space="preserve">dialogue </w:t>
      </w:r>
      <w:r w:rsidR="00B54347" w:rsidRPr="00BD07AE">
        <w:t>between RCM and SACM, Member Countries identified some aspects in common to be addressed by both Conferences, highlighting the following:</w:t>
      </w:r>
    </w:p>
    <w:p w:rsidR="00B54347" w:rsidRPr="00BD07AE" w:rsidRDefault="00B54347" w:rsidP="00B54347">
      <w:pPr>
        <w:pStyle w:val="Prrafodelista"/>
        <w:numPr>
          <w:ilvl w:val="0"/>
          <w:numId w:val="2"/>
        </w:numPr>
        <w:jc w:val="both"/>
      </w:pPr>
      <w:r w:rsidRPr="00BD07AE">
        <w:t>Global Compact for safe, orderly and regular migration</w:t>
      </w:r>
    </w:p>
    <w:p w:rsidR="00B54347" w:rsidRPr="00BD07AE" w:rsidRDefault="00B54347" w:rsidP="00B54347">
      <w:pPr>
        <w:pStyle w:val="Prrafodelista"/>
        <w:numPr>
          <w:ilvl w:val="0"/>
          <w:numId w:val="2"/>
        </w:numPr>
        <w:jc w:val="both"/>
      </w:pPr>
      <w:r w:rsidRPr="00BD07AE">
        <w:t>Intra-regional, extra-regional and extra-continental migration</w:t>
      </w:r>
    </w:p>
    <w:p w:rsidR="00B54347" w:rsidRPr="00BD07AE" w:rsidRDefault="00B54347" w:rsidP="00B54347">
      <w:pPr>
        <w:pStyle w:val="Prrafodelista"/>
        <w:numPr>
          <w:ilvl w:val="0"/>
          <w:numId w:val="2"/>
        </w:numPr>
        <w:jc w:val="both"/>
      </w:pPr>
      <w:r w:rsidRPr="00BD07AE">
        <w:t>Governance of migration</w:t>
      </w:r>
    </w:p>
    <w:p w:rsidR="00B54347" w:rsidRPr="00BD07AE" w:rsidRDefault="00B54347" w:rsidP="00B54347">
      <w:pPr>
        <w:pStyle w:val="Prrafodelista"/>
        <w:numPr>
          <w:ilvl w:val="0"/>
          <w:numId w:val="2"/>
        </w:numPr>
        <w:jc w:val="both"/>
      </w:pPr>
      <w:r w:rsidRPr="00BD07AE">
        <w:t>Exchange of good practices for strengthening the capacities of both processes</w:t>
      </w:r>
    </w:p>
    <w:p w:rsidR="00B54347" w:rsidRPr="00BD07AE" w:rsidRDefault="00B54347" w:rsidP="00B54347">
      <w:pPr>
        <w:pStyle w:val="Prrafodelista"/>
        <w:numPr>
          <w:ilvl w:val="0"/>
          <w:numId w:val="2"/>
        </w:numPr>
        <w:jc w:val="both"/>
      </w:pPr>
      <w:r w:rsidRPr="00BD07AE">
        <w:t>Assistance to returned migrants</w:t>
      </w:r>
    </w:p>
    <w:p w:rsidR="00B54347" w:rsidRPr="00BD07AE" w:rsidRDefault="00B54347" w:rsidP="00B54347">
      <w:pPr>
        <w:pStyle w:val="Prrafodelista"/>
        <w:numPr>
          <w:ilvl w:val="0"/>
          <w:numId w:val="2"/>
        </w:numPr>
        <w:jc w:val="both"/>
      </w:pPr>
      <w:r w:rsidRPr="00BD07AE">
        <w:t>Insertion and social inclusion of migrants in destination countries</w:t>
      </w:r>
    </w:p>
    <w:p w:rsidR="00B54347" w:rsidRPr="00BD07AE" w:rsidRDefault="000120E7" w:rsidP="00B54347">
      <w:pPr>
        <w:pStyle w:val="Prrafodelista"/>
        <w:numPr>
          <w:ilvl w:val="0"/>
          <w:numId w:val="2"/>
        </w:numPr>
        <w:jc w:val="both"/>
      </w:pPr>
      <w:r w:rsidRPr="00BD07AE">
        <w:t xml:space="preserve">Assistance to </w:t>
      </w:r>
      <w:r w:rsidR="00B54347" w:rsidRPr="00BD07AE">
        <w:t xml:space="preserve">migrant population in </w:t>
      </w:r>
      <w:r w:rsidRPr="00BD07AE">
        <w:t>countries</w:t>
      </w:r>
      <w:r w:rsidRPr="00BD07AE">
        <w:t xml:space="preserve"> of </w:t>
      </w:r>
      <w:r w:rsidR="00B54347" w:rsidRPr="00BD07AE">
        <w:t>transit.</w:t>
      </w:r>
    </w:p>
    <w:p w:rsidR="00B54347" w:rsidRPr="00BD07AE" w:rsidRDefault="00B54347" w:rsidP="00B54347">
      <w:pPr>
        <w:pStyle w:val="Prrafodelista"/>
        <w:numPr>
          <w:ilvl w:val="0"/>
          <w:numId w:val="2"/>
        </w:numPr>
        <w:jc w:val="both"/>
      </w:pPr>
      <w:r w:rsidRPr="00BD07AE">
        <w:t>Experiences of consular assistance in destination countries</w:t>
      </w:r>
    </w:p>
    <w:p w:rsidR="00B54347" w:rsidRPr="00BD07AE" w:rsidRDefault="00B54347" w:rsidP="00B54347">
      <w:pPr>
        <w:pStyle w:val="Prrafodelista"/>
        <w:numPr>
          <w:ilvl w:val="0"/>
          <w:numId w:val="2"/>
        </w:numPr>
        <w:jc w:val="both"/>
      </w:pPr>
      <w:r w:rsidRPr="00BD07AE">
        <w:t>Protection mechanisms in each countr</w:t>
      </w:r>
      <w:r w:rsidR="007538D5" w:rsidRPr="00BD07AE">
        <w:t>y</w:t>
      </w:r>
    </w:p>
    <w:p w:rsidR="00B54347" w:rsidRPr="00BD07AE" w:rsidRDefault="00B54347" w:rsidP="00B54347">
      <w:pPr>
        <w:pStyle w:val="Prrafodelista"/>
        <w:numPr>
          <w:ilvl w:val="0"/>
          <w:numId w:val="2"/>
        </w:numPr>
        <w:jc w:val="both"/>
      </w:pPr>
      <w:r w:rsidRPr="00BD07AE">
        <w:t xml:space="preserve">The </w:t>
      </w:r>
      <w:r w:rsidR="007538D5" w:rsidRPr="00BD07AE">
        <w:t>continuous</w:t>
      </w:r>
      <w:r w:rsidRPr="00BD07AE">
        <w:t xml:space="preserve"> observance of the different migrat</w:t>
      </w:r>
      <w:r w:rsidR="007538D5" w:rsidRPr="00BD07AE">
        <w:t>ion</w:t>
      </w:r>
      <w:r w:rsidRPr="00BD07AE">
        <w:t xml:space="preserve"> flows</w:t>
      </w:r>
    </w:p>
    <w:p w:rsidR="00B54347" w:rsidRPr="00BD07AE" w:rsidRDefault="00B54347" w:rsidP="00B54347">
      <w:pPr>
        <w:pStyle w:val="Prrafodelista"/>
        <w:numPr>
          <w:ilvl w:val="0"/>
          <w:numId w:val="2"/>
        </w:numPr>
        <w:jc w:val="both"/>
      </w:pPr>
      <w:r w:rsidRPr="00BD07AE">
        <w:t xml:space="preserve">Migration in </w:t>
      </w:r>
      <w:r w:rsidR="007538D5" w:rsidRPr="00BD07AE">
        <w:t>countries</w:t>
      </w:r>
      <w:r w:rsidR="007538D5" w:rsidRPr="00BD07AE">
        <w:t xml:space="preserve"> of </w:t>
      </w:r>
      <w:r w:rsidRPr="00BD07AE">
        <w:t xml:space="preserve">transit </w:t>
      </w:r>
    </w:p>
    <w:p w:rsidR="00B54347" w:rsidRPr="00BD07AE" w:rsidRDefault="007538D5" w:rsidP="00B54347">
      <w:pPr>
        <w:pStyle w:val="Prrafodelista"/>
        <w:numPr>
          <w:ilvl w:val="0"/>
          <w:numId w:val="2"/>
        </w:numPr>
        <w:jc w:val="both"/>
      </w:pPr>
      <w:r w:rsidRPr="00BD07AE">
        <w:t xml:space="preserve">Refuge </w:t>
      </w:r>
    </w:p>
    <w:p w:rsidR="00B54347" w:rsidRPr="00BD07AE" w:rsidRDefault="00B54347" w:rsidP="00B54347">
      <w:pPr>
        <w:pStyle w:val="Prrafodelista"/>
        <w:numPr>
          <w:ilvl w:val="0"/>
          <w:numId w:val="2"/>
        </w:numPr>
        <w:jc w:val="both"/>
      </w:pPr>
      <w:r w:rsidRPr="00BD07AE">
        <w:t xml:space="preserve">Trafficking in persons and </w:t>
      </w:r>
      <w:r w:rsidR="007538D5" w:rsidRPr="00BD07AE">
        <w:t>comprehensive</w:t>
      </w:r>
      <w:r w:rsidRPr="00BD07AE">
        <w:t xml:space="preserve"> </w:t>
      </w:r>
      <w:r w:rsidR="00075942" w:rsidRPr="00BD07AE">
        <w:t xml:space="preserve">assistance </w:t>
      </w:r>
      <w:r w:rsidRPr="00BD07AE">
        <w:t>to the surviving victims of this crime</w:t>
      </w:r>
    </w:p>
    <w:p w:rsidR="00B54347" w:rsidRPr="00BD07AE" w:rsidRDefault="009B5BB4" w:rsidP="00B54347">
      <w:pPr>
        <w:pStyle w:val="Prrafodelista"/>
        <w:numPr>
          <w:ilvl w:val="0"/>
          <w:numId w:val="2"/>
        </w:numPr>
        <w:jc w:val="both"/>
      </w:pPr>
      <w:r w:rsidRPr="00BD07AE">
        <w:t xml:space="preserve">Migrant smuggling </w:t>
      </w:r>
      <w:r w:rsidR="00B54347" w:rsidRPr="00BD07AE">
        <w:t xml:space="preserve">and attention to </w:t>
      </w:r>
      <w:r w:rsidRPr="00BD07AE">
        <w:t>smuggled</w:t>
      </w:r>
      <w:r w:rsidR="00B54347" w:rsidRPr="00BD07AE">
        <w:t xml:space="preserve"> </w:t>
      </w:r>
      <w:r w:rsidRPr="00BD07AE">
        <w:t>people</w:t>
      </w:r>
    </w:p>
    <w:p w:rsidR="00B54347" w:rsidRPr="00BD07AE" w:rsidRDefault="00B54347" w:rsidP="00B54347">
      <w:pPr>
        <w:pStyle w:val="Prrafodelista"/>
        <w:numPr>
          <w:ilvl w:val="0"/>
          <w:numId w:val="2"/>
        </w:numPr>
        <w:jc w:val="both"/>
      </w:pPr>
      <w:r w:rsidRPr="00BD07AE">
        <w:t>Protection of migrant children and their psychosocial attention</w:t>
      </w:r>
    </w:p>
    <w:p w:rsidR="00B54347" w:rsidRPr="00BD07AE" w:rsidRDefault="00B54347" w:rsidP="00B54347">
      <w:pPr>
        <w:pStyle w:val="Prrafodelista"/>
        <w:numPr>
          <w:ilvl w:val="0"/>
          <w:numId w:val="2"/>
        </w:numPr>
        <w:jc w:val="both"/>
      </w:pPr>
      <w:r w:rsidRPr="00BD07AE">
        <w:t>Family reunification</w:t>
      </w:r>
    </w:p>
    <w:p w:rsidR="00B54347" w:rsidRPr="00BD07AE" w:rsidRDefault="0089794D" w:rsidP="00B54347">
      <w:pPr>
        <w:pStyle w:val="Prrafodelista"/>
        <w:numPr>
          <w:ilvl w:val="0"/>
          <w:numId w:val="2"/>
        </w:numPr>
        <w:jc w:val="both"/>
      </w:pPr>
      <w:r w:rsidRPr="00BD07AE">
        <w:t>R</w:t>
      </w:r>
      <w:r w:rsidR="00B54347" w:rsidRPr="00BD07AE">
        <w:t>egularization</w:t>
      </w:r>
      <w:r w:rsidRPr="00BD07AE">
        <w:t xml:space="preserve"> of migrants</w:t>
      </w:r>
    </w:p>
    <w:p w:rsidR="00B54347" w:rsidRPr="00BD07AE" w:rsidRDefault="00B54347" w:rsidP="00B54347">
      <w:pPr>
        <w:pStyle w:val="Prrafodelista"/>
        <w:numPr>
          <w:ilvl w:val="0"/>
          <w:numId w:val="2"/>
        </w:numPr>
        <w:jc w:val="both"/>
      </w:pPr>
      <w:r w:rsidRPr="00BD07AE">
        <w:t>Fraudulent documents and exchange of experiences</w:t>
      </w:r>
    </w:p>
    <w:p w:rsidR="00B54347" w:rsidRPr="00BD07AE" w:rsidRDefault="00B54347" w:rsidP="00B54347">
      <w:pPr>
        <w:pStyle w:val="Prrafodelista"/>
        <w:numPr>
          <w:ilvl w:val="0"/>
          <w:numId w:val="2"/>
        </w:numPr>
        <w:jc w:val="both"/>
      </w:pPr>
      <w:r w:rsidRPr="00BD07AE">
        <w:t>Future global impacts and their impact on migration</w:t>
      </w:r>
    </w:p>
    <w:p w:rsidR="00B54347" w:rsidRPr="00BD07AE" w:rsidRDefault="00B54347" w:rsidP="00B54347">
      <w:pPr>
        <w:pStyle w:val="Prrafodelista"/>
        <w:numPr>
          <w:ilvl w:val="0"/>
          <w:numId w:val="2"/>
        </w:numPr>
        <w:jc w:val="both"/>
      </w:pPr>
      <w:r w:rsidRPr="00BD07AE">
        <w:t>Entry visa requirements</w:t>
      </w:r>
    </w:p>
    <w:p w:rsidR="00B54347" w:rsidRPr="00BD07AE" w:rsidRDefault="00B54347" w:rsidP="00B54347">
      <w:pPr>
        <w:pStyle w:val="Prrafodelista"/>
        <w:numPr>
          <w:ilvl w:val="0"/>
          <w:numId w:val="2"/>
        </w:numPr>
        <w:jc w:val="both"/>
      </w:pPr>
      <w:r w:rsidRPr="00BD07AE">
        <w:t>Climate change and its impact on migration</w:t>
      </w:r>
    </w:p>
    <w:p w:rsidR="00B54347" w:rsidRPr="00BD07AE" w:rsidRDefault="00B54347" w:rsidP="00B54347">
      <w:pPr>
        <w:pStyle w:val="Prrafodelista"/>
        <w:numPr>
          <w:ilvl w:val="0"/>
          <w:numId w:val="2"/>
        </w:numPr>
        <w:jc w:val="both"/>
      </w:pPr>
      <w:r w:rsidRPr="00BD07AE">
        <w:t xml:space="preserve">Challenges in South-South repatriation, especially </w:t>
      </w:r>
      <w:r w:rsidR="0089794D" w:rsidRPr="00BD07AE">
        <w:t>that of</w:t>
      </w:r>
      <w:r w:rsidRPr="00BD07AE">
        <w:t xml:space="preserve"> unaccompanied minors</w:t>
      </w:r>
    </w:p>
    <w:p w:rsidR="00B54347" w:rsidRPr="00BD07AE" w:rsidRDefault="00BF49E1" w:rsidP="00B54347">
      <w:pPr>
        <w:pStyle w:val="Prrafodelista"/>
        <w:numPr>
          <w:ilvl w:val="0"/>
          <w:numId w:val="2"/>
        </w:numPr>
        <w:jc w:val="both"/>
      </w:pPr>
      <w:r w:rsidRPr="00BD07AE">
        <w:t>Assistance to children</w:t>
      </w:r>
      <w:r w:rsidR="00921AE4" w:rsidRPr="00BD07AE">
        <w:t xml:space="preserve"> </w:t>
      </w:r>
      <w:r w:rsidR="00B54347" w:rsidRPr="00BD07AE">
        <w:t>in the repatriation process</w:t>
      </w:r>
    </w:p>
    <w:p w:rsidR="00B54347" w:rsidRPr="00BD07AE" w:rsidRDefault="00B54347" w:rsidP="00B54347">
      <w:pPr>
        <w:pStyle w:val="Prrafodelista"/>
        <w:numPr>
          <w:ilvl w:val="0"/>
          <w:numId w:val="2"/>
        </w:numPr>
        <w:jc w:val="both"/>
      </w:pPr>
      <w:r w:rsidRPr="00BD07AE">
        <w:t>Establish</w:t>
      </w:r>
      <w:r w:rsidR="00575F77" w:rsidRPr="00BD07AE">
        <w:t>ing</w:t>
      </w:r>
      <w:r w:rsidRPr="00BD07AE">
        <w:t xml:space="preserve"> contact points in the South-South repatriation process</w:t>
      </w:r>
    </w:p>
    <w:p w:rsidR="00B54347" w:rsidRPr="00BD07AE" w:rsidRDefault="00B54347" w:rsidP="00B54347">
      <w:pPr>
        <w:pStyle w:val="Prrafodelista"/>
        <w:numPr>
          <w:ilvl w:val="0"/>
          <w:numId w:val="2"/>
        </w:numPr>
        <w:jc w:val="both"/>
      </w:pPr>
      <w:r w:rsidRPr="00BD07AE">
        <w:t>Governance of migration</w:t>
      </w:r>
    </w:p>
    <w:p w:rsidR="00B54347" w:rsidRPr="00BD07AE" w:rsidRDefault="00B54347" w:rsidP="00B54347">
      <w:pPr>
        <w:pStyle w:val="Prrafodelista"/>
        <w:numPr>
          <w:ilvl w:val="0"/>
          <w:numId w:val="2"/>
        </w:numPr>
        <w:jc w:val="both"/>
      </w:pPr>
      <w:r w:rsidRPr="00BD07AE">
        <w:t>International cooperation governance</w:t>
      </w:r>
      <w:r w:rsidR="00AA0B7A" w:rsidRPr="00BD07AE">
        <w:t xml:space="preserve"> of</w:t>
      </w:r>
      <w:r w:rsidR="00AA0B7A" w:rsidRPr="00BD07AE">
        <w:t xml:space="preserve"> migrat</w:t>
      </w:r>
      <w:r w:rsidR="00AA0B7A" w:rsidRPr="00BD07AE">
        <w:t>ion</w:t>
      </w:r>
    </w:p>
    <w:p w:rsidR="00B54347" w:rsidRPr="00BD07AE" w:rsidRDefault="00B54347" w:rsidP="00B54347">
      <w:pPr>
        <w:pStyle w:val="Prrafodelista"/>
        <w:numPr>
          <w:ilvl w:val="0"/>
          <w:numId w:val="2"/>
        </w:numPr>
        <w:jc w:val="both"/>
      </w:pPr>
      <w:r w:rsidRPr="00BD07AE">
        <w:t>Legal and institutional frameworks on migration matters</w:t>
      </w:r>
    </w:p>
    <w:p w:rsidR="00B54347" w:rsidRPr="00BD07AE" w:rsidRDefault="00B54347" w:rsidP="00B54347">
      <w:pPr>
        <w:pStyle w:val="Prrafodelista"/>
        <w:numPr>
          <w:ilvl w:val="0"/>
          <w:numId w:val="2"/>
        </w:numPr>
        <w:jc w:val="both"/>
      </w:pPr>
      <w:r w:rsidRPr="00BD07AE">
        <w:t>Situational migrat</w:t>
      </w:r>
      <w:r w:rsidR="00AA0B7A" w:rsidRPr="00BD07AE">
        <w:t>ion</w:t>
      </w:r>
    </w:p>
    <w:p w:rsidR="00AA0B7A" w:rsidRPr="00BD07AE" w:rsidRDefault="00AA0B7A" w:rsidP="00B54347">
      <w:pPr>
        <w:jc w:val="both"/>
        <w:rPr>
          <w:b/>
        </w:rPr>
      </w:pPr>
    </w:p>
    <w:p w:rsidR="00AA0B7A" w:rsidRPr="00BD07AE" w:rsidRDefault="00AA0B7A" w:rsidP="00B54347">
      <w:pPr>
        <w:jc w:val="both"/>
        <w:rPr>
          <w:b/>
        </w:rPr>
      </w:pPr>
    </w:p>
    <w:p w:rsidR="00B07343" w:rsidRDefault="00B07343" w:rsidP="00260973">
      <w:pPr>
        <w:jc w:val="both"/>
        <w:rPr>
          <w:b/>
        </w:rPr>
      </w:pPr>
    </w:p>
    <w:p w:rsidR="00AA0B7A" w:rsidRPr="00BD07AE" w:rsidRDefault="00AA0B7A" w:rsidP="00260973">
      <w:pPr>
        <w:jc w:val="both"/>
        <w:rPr>
          <w:b/>
        </w:rPr>
      </w:pPr>
      <w:bookmarkStart w:id="0" w:name="_GoBack"/>
      <w:bookmarkEnd w:id="0"/>
      <w:r w:rsidRPr="00BD07AE">
        <w:rPr>
          <w:b/>
        </w:rPr>
        <w:t>Next actions:</w:t>
      </w:r>
    </w:p>
    <w:p w:rsidR="00AA0B7A" w:rsidRPr="00BD07AE" w:rsidRDefault="00AA0B7A" w:rsidP="00260973">
      <w:pPr>
        <w:jc w:val="both"/>
      </w:pPr>
      <w:r w:rsidRPr="00BD07AE">
        <w:t xml:space="preserve">Meeting of the </w:t>
      </w:r>
      <w:r w:rsidRPr="00BD07AE">
        <w:t xml:space="preserve">Presidencies </w:t>
      </w:r>
      <w:r w:rsidRPr="00BD07AE">
        <w:t>Pro-</w:t>
      </w:r>
      <w:proofErr w:type="spellStart"/>
      <w:r w:rsidRPr="00BD07AE">
        <w:t>Témpore</w:t>
      </w:r>
      <w:proofErr w:type="spellEnd"/>
      <w:r w:rsidRPr="00BD07AE">
        <w:t xml:space="preserve"> with the Technical Secretariats for the elaboration of a conceptual note on common subjects at the troika level. Once revised by the troika, it will be shared with the Member Countries of both conferences.</w:t>
      </w:r>
    </w:p>
    <w:p w:rsidR="0083285C" w:rsidRPr="00BD07AE" w:rsidRDefault="00AA0B7A" w:rsidP="00260973">
      <w:pPr>
        <w:jc w:val="both"/>
      </w:pPr>
      <w:r w:rsidRPr="00BD07AE">
        <w:t xml:space="preserve">The </w:t>
      </w:r>
      <w:r w:rsidRPr="00BD07AE">
        <w:t xml:space="preserve">Presidencies </w:t>
      </w:r>
      <w:r w:rsidRPr="00BD07AE">
        <w:t>Pro-</w:t>
      </w:r>
      <w:proofErr w:type="spellStart"/>
      <w:r w:rsidRPr="00BD07AE">
        <w:t>Témpore</w:t>
      </w:r>
      <w:proofErr w:type="spellEnd"/>
      <w:r w:rsidRPr="00BD07AE">
        <w:t xml:space="preserve"> of both conferences will submit for the consideration of the respective countries the </w:t>
      </w:r>
      <w:r w:rsidR="00617B52" w:rsidRPr="00BD07AE">
        <w:t>proposal for relating both consultative processes (videoconferences, plenary, or face to face meetings of the Troikas)</w:t>
      </w:r>
    </w:p>
    <w:p w:rsidR="00B94B3F" w:rsidRPr="00BD07AE" w:rsidRDefault="00617B52" w:rsidP="00260973">
      <w:pPr>
        <w:jc w:val="both"/>
      </w:pPr>
      <w:r w:rsidRPr="00BD07AE">
        <w:t>C</w:t>
      </w:r>
      <w:r w:rsidR="00AA0B7A" w:rsidRPr="00BD07AE">
        <w:t>oordinat</w:t>
      </w:r>
      <w:r w:rsidRPr="00BD07AE">
        <w:t xml:space="preserve">ed work </w:t>
      </w:r>
      <w:r w:rsidR="00927171" w:rsidRPr="00BD07AE">
        <w:t>between</w:t>
      </w:r>
      <w:r w:rsidR="00AA0B7A" w:rsidRPr="00BD07AE">
        <w:t xml:space="preserve"> the </w:t>
      </w:r>
      <w:r w:rsidR="0069095E" w:rsidRPr="00BD07AE">
        <w:t xml:space="preserve">country </w:t>
      </w:r>
      <w:r w:rsidR="00AA0B7A" w:rsidRPr="00BD07AE">
        <w:t xml:space="preserve">delegations in New York, the </w:t>
      </w:r>
      <w:r w:rsidRPr="00BD07AE">
        <w:t xml:space="preserve">Ministries </w:t>
      </w:r>
      <w:r w:rsidRPr="00BD07AE">
        <w:t xml:space="preserve">of </w:t>
      </w:r>
      <w:r w:rsidR="00AA0B7A" w:rsidRPr="00BD07AE">
        <w:t xml:space="preserve">Foreign </w:t>
      </w:r>
      <w:r w:rsidRPr="00BD07AE">
        <w:t xml:space="preserve">Affair </w:t>
      </w:r>
      <w:r w:rsidR="00AA0B7A" w:rsidRPr="00BD07AE">
        <w:t xml:space="preserve">and those responsible for the negotiations of the Global Compact for a safe, orderly and regular migration, </w:t>
      </w:r>
      <w:proofErr w:type="gramStart"/>
      <w:r w:rsidR="00332A25" w:rsidRPr="00BD07AE">
        <w:t>in order to</w:t>
      </w:r>
      <w:proofErr w:type="gramEnd"/>
      <w:r w:rsidR="00332A25" w:rsidRPr="00BD07AE">
        <w:t xml:space="preserve"> reach</w:t>
      </w:r>
      <w:r w:rsidR="00AA0B7A" w:rsidRPr="00BD07AE">
        <w:t xml:space="preserve"> a better articulation in the intergovernmental negotiation process.</w:t>
      </w:r>
    </w:p>
    <w:p w:rsidR="006B149A" w:rsidRPr="00BD07AE" w:rsidRDefault="00332A25" w:rsidP="00260973">
      <w:pPr>
        <w:jc w:val="both"/>
        <w:rPr>
          <w:b/>
        </w:rPr>
      </w:pPr>
      <w:r w:rsidRPr="00BD07AE">
        <w:rPr>
          <w:b/>
        </w:rPr>
        <w:t>DAY</w:t>
      </w:r>
      <w:r w:rsidR="006B149A" w:rsidRPr="00BD07AE">
        <w:rPr>
          <w:b/>
        </w:rPr>
        <w:t xml:space="preserve"> 2: </w:t>
      </w:r>
      <w:r w:rsidRPr="00BD07AE">
        <w:rPr>
          <w:b/>
        </w:rPr>
        <w:t>Elements for a conceptual note for addressing extra-regional and extra-continental flows</w:t>
      </w:r>
    </w:p>
    <w:p w:rsidR="00332A25" w:rsidRPr="00BD07AE" w:rsidRDefault="00BD07AE" w:rsidP="00260973">
      <w:pPr>
        <w:jc w:val="both"/>
      </w:pPr>
      <w:r w:rsidRPr="00BD07AE">
        <w:t>Meeting of the Presidencies Pro-</w:t>
      </w:r>
      <w:proofErr w:type="spellStart"/>
      <w:r w:rsidRPr="00BD07AE">
        <w:t>Témpore</w:t>
      </w:r>
      <w:proofErr w:type="spellEnd"/>
      <w:r w:rsidRPr="00BD07AE">
        <w:t xml:space="preserve"> with the Technical Secretariats for the elaboration of a conceptual note on extra-regional and extra-continental flows in the following topics:</w:t>
      </w:r>
    </w:p>
    <w:p w:rsidR="00BD07AE" w:rsidRPr="00BD07AE" w:rsidRDefault="00BD07AE" w:rsidP="00260973">
      <w:pPr>
        <w:jc w:val="both"/>
      </w:pPr>
    </w:p>
    <w:tbl>
      <w:tblPr>
        <w:tblStyle w:val="Tablaconcuadrcula"/>
        <w:tblW w:w="0" w:type="auto"/>
        <w:tblLook w:val="04A0" w:firstRow="1" w:lastRow="0" w:firstColumn="1" w:lastColumn="0" w:noHBand="0" w:noVBand="1"/>
      </w:tblPr>
      <w:tblGrid>
        <w:gridCol w:w="1705"/>
        <w:gridCol w:w="7645"/>
      </w:tblGrid>
      <w:tr w:rsidR="00543CA8" w:rsidRPr="00BD07AE" w:rsidTr="00B94B3F">
        <w:tc>
          <w:tcPr>
            <w:tcW w:w="1705" w:type="dxa"/>
            <w:shd w:val="clear" w:color="auto" w:fill="DEEAF6" w:themeFill="accent1" w:themeFillTint="33"/>
          </w:tcPr>
          <w:p w:rsidR="00543CA8" w:rsidRPr="00BD07AE" w:rsidRDefault="006B149A" w:rsidP="006B149A">
            <w:pPr>
              <w:jc w:val="center"/>
            </w:pPr>
            <w:r w:rsidRPr="00BD07AE">
              <w:t>1</w:t>
            </w:r>
          </w:p>
        </w:tc>
        <w:tc>
          <w:tcPr>
            <w:tcW w:w="7645" w:type="dxa"/>
          </w:tcPr>
          <w:p w:rsidR="00543CA8" w:rsidRPr="00BD07AE" w:rsidRDefault="00BD07AE" w:rsidP="00543CA8">
            <w:r w:rsidRPr="00BD07AE">
              <w:t>Statistics</w:t>
            </w:r>
          </w:p>
          <w:p w:rsidR="00543CA8" w:rsidRPr="00BD07AE" w:rsidRDefault="00BD07AE" w:rsidP="00543CA8">
            <w:pPr>
              <w:pStyle w:val="Prrafodelista"/>
              <w:numPr>
                <w:ilvl w:val="0"/>
                <w:numId w:val="3"/>
              </w:numPr>
            </w:pPr>
            <w:r w:rsidRPr="00BD07AE">
              <w:t>Data exchange</w:t>
            </w:r>
          </w:p>
          <w:p w:rsidR="00543CA8" w:rsidRPr="00BD07AE" w:rsidRDefault="00BD07AE" w:rsidP="00543CA8">
            <w:pPr>
              <w:pStyle w:val="Prrafodelista"/>
              <w:numPr>
                <w:ilvl w:val="0"/>
                <w:numId w:val="3"/>
              </w:numPr>
            </w:pPr>
            <w:r w:rsidRPr="00BD07AE">
              <w:t>Analysis of information</w:t>
            </w:r>
          </w:p>
          <w:p w:rsidR="00543CA8" w:rsidRPr="00BD07AE" w:rsidRDefault="00543CA8" w:rsidP="00260973">
            <w:pPr>
              <w:jc w:val="both"/>
            </w:pPr>
          </w:p>
        </w:tc>
      </w:tr>
      <w:tr w:rsidR="00543CA8" w:rsidRPr="00BD07AE" w:rsidTr="00B94B3F">
        <w:tc>
          <w:tcPr>
            <w:tcW w:w="1705" w:type="dxa"/>
            <w:shd w:val="clear" w:color="auto" w:fill="DEEAF6" w:themeFill="accent1" w:themeFillTint="33"/>
          </w:tcPr>
          <w:p w:rsidR="00543CA8" w:rsidRPr="00BD07AE" w:rsidRDefault="006B149A" w:rsidP="006B149A">
            <w:pPr>
              <w:jc w:val="center"/>
            </w:pPr>
            <w:r w:rsidRPr="00BD07AE">
              <w:t>2</w:t>
            </w:r>
          </w:p>
        </w:tc>
        <w:tc>
          <w:tcPr>
            <w:tcW w:w="7645" w:type="dxa"/>
          </w:tcPr>
          <w:p w:rsidR="00543CA8" w:rsidRPr="00BD07AE" w:rsidRDefault="00BD07AE" w:rsidP="00543CA8">
            <w:r w:rsidRPr="00BD07AE">
              <w:t>Prevention of irregular migration</w:t>
            </w:r>
          </w:p>
          <w:p w:rsidR="00543CA8" w:rsidRPr="00BD07AE" w:rsidRDefault="00543CA8" w:rsidP="00B94B3F"/>
        </w:tc>
      </w:tr>
      <w:tr w:rsidR="00B94B3F" w:rsidRPr="00BD07AE" w:rsidTr="00B94B3F">
        <w:tc>
          <w:tcPr>
            <w:tcW w:w="1705" w:type="dxa"/>
            <w:shd w:val="clear" w:color="auto" w:fill="DEEAF6" w:themeFill="accent1" w:themeFillTint="33"/>
          </w:tcPr>
          <w:p w:rsidR="00B94B3F" w:rsidRPr="00BD07AE" w:rsidRDefault="00B94B3F" w:rsidP="006B149A">
            <w:pPr>
              <w:jc w:val="center"/>
            </w:pPr>
            <w:r w:rsidRPr="00BD07AE">
              <w:t>3</w:t>
            </w:r>
          </w:p>
        </w:tc>
        <w:tc>
          <w:tcPr>
            <w:tcW w:w="7645" w:type="dxa"/>
          </w:tcPr>
          <w:p w:rsidR="00B94B3F" w:rsidRPr="00BD07AE" w:rsidRDefault="00BD07AE" w:rsidP="00543CA8">
            <w:r w:rsidRPr="00BD07AE">
              <w:t>Assistance</w:t>
            </w:r>
          </w:p>
          <w:p w:rsidR="00B94B3F" w:rsidRPr="00BD07AE" w:rsidRDefault="00B94B3F" w:rsidP="00B94B3F">
            <w:pPr>
              <w:pStyle w:val="Prrafodelista"/>
              <w:numPr>
                <w:ilvl w:val="0"/>
                <w:numId w:val="4"/>
              </w:numPr>
            </w:pPr>
            <w:r w:rsidRPr="00BD07AE">
              <w:t>Documenta</w:t>
            </w:r>
            <w:r w:rsidR="00BD07AE" w:rsidRPr="00BD07AE">
              <w:t>tion</w:t>
            </w:r>
          </w:p>
          <w:p w:rsidR="00B94B3F" w:rsidRPr="00BD07AE" w:rsidRDefault="00BD07AE" w:rsidP="00B94B3F">
            <w:pPr>
              <w:pStyle w:val="Prrafodelista"/>
              <w:numPr>
                <w:ilvl w:val="0"/>
                <w:numId w:val="4"/>
              </w:numPr>
            </w:pPr>
            <w:r w:rsidRPr="00BD07AE">
              <w:t>Shelters</w:t>
            </w:r>
          </w:p>
          <w:p w:rsidR="00B94B3F" w:rsidRPr="00BD07AE" w:rsidRDefault="00B94B3F" w:rsidP="00B94B3F"/>
        </w:tc>
      </w:tr>
      <w:tr w:rsidR="00543CA8" w:rsidRPr="00BD07AE" w:rsidTr="00B94B3F">
        <w:tc>
          <w:tcPr>
            <w:tcW w:w="1705" w:type="dxa"/>
            <w:shd w:val="clear" w:color="auto" w:fill="DEEAF6" w:themeFill="accent1" w:themeFillTint="33"/>
          </w:tcPr>
          <w:p w:rsidR="00543CA8" w:rsidRPr="00BD07AE" w:rsidRDefault="00B94B3F" w:rsidP="006B149A">
            <w:pPr>
              <w:jc w:val="center"/>
            </w:pPr>
            <w:r w:rsidRPr="00BD07AE">
              <w:t>4</w:t>
            </w:r>
          </w:p>
        </w:tc>
        <w:tc>
          <w:tcPr>
            <w:tcW w:w="7645" w:type="dxa"/>
          </w:tcPr>
          <w:p w:rsidR="00543CA8" w:rsidRPr="00BD07AE" w:rsidRDefault="00BD07AE" w:rsidP="00543CA8">
            <w:r w:rsidRPr="00BD07AE">
              <w:t xml:space="preserve">Border management </w:t>
            </w:r>
            <w:r w:rsidR="00B94B3F" w:rsidRPr="00BD07AE">
              <w:t>(</w:t>
            </w:r>
            <w:r w:rsidRPr="00BD07AE">
              <w:t>biometric controls for example</w:t>
            </w:r>
            <w:r w:rsidR="00543CA8" w:rsidRPr="00BD07AE">
              <w:t>)</w:t>
            </w:r>
          </w:p>
          <w:p w:rsidR="00543CA8" w:rsidRPr="00BD07AE" w:rsidRDefault="00543CA8" w:rsidP="00260973">
            <w:pPr>
              <w:jc w:val="both"/>
            </w:pPr>
          </w:p>
        </w:tc>
      </w:tr>
      <w:tr w:rsidR="00543CA8" w:rsidRPr="00BD07AE" w:rsidTr="00B94B3F">
        <w:tc>
          <w:tcPr>
            <w:tcW w:w="1705" w:type="dxa"/>
            <w:shd w:val="clear" w:color="auto" w:fill="DEEAF6" w:themeFill="accent1" w:themeFillTint="33"/>
          </w:tcPr>
          <w:p w:rsidR="00543CA8" w:rsidRPr="00BD07AE" w:rsidRDefault="00B94B3F" w:rsidP="006B149A">
            <w:pPr>
              <w:jc w:val="center"/>
            </w:pPr>
            <w:r w:rsidRPr="00BD07AE">
              <w:t>5</w:t>
            </w:r>
          </w:p>
        </w:tc>
        <w:tc>
          <w:tcPr>
            <w:tcW w:w="7645" w:type="dxa"/>
          </w:tcPr>
          <w:p w:rsidR="00543CA8" w:rsidRPr="00BD07AE" w:rsidRDefault="00BD07AE" w:rsidP="00260973">
            <w:pPr>
              <w:jc w:val="both"/>
            </w:pPr>
            <w:r w:rsidRPr="00BD07AE">
              <w:t>Integration</w:t>
            </w:r>
          </w:p>
          <w:p w:rsidR="006B149A" w:rsidRPr="00BD07AE" w:rsidRDefault="006B149A" w:rsidP="00260973">
            <w:pPr>
              <w:jc w:val="both"/>
            </w:pPr>
          </w:p>
        </w:tc>
      </w:tr>
      <w:tr w:rsidR="006B149A" w:rsidRPr="00BD07AE" w:rsidTr="00B94B3F">
        <w:tc>
          <w:tcPr>
            <w:tcW w:w="1705" w:type="dxa"/>
            <w:shd w:val="clear" w:color="auto" w:fill="DEEAF6" w:themeFill="accent1" w:themeFillTint="33"/>
          </w:tcPr>
          <w:p w:rsidR="006B149A" w:rsidRPr="00BD07AE" w:rsidRDefault="00B94B3F" w:rsidP="006B149A">
            <w:pPr>
              <w:jc w:val="center"/>
            </w:pPr>
            <w:r w:rsidRPr="00BD07AE">
              <w:t>6</w:t>
            </w:r>
          </w:p>
        </w:tc>
        <w:tc>
          <w:tcPr>
            <w:tcW w:w="7645" w:type="dxa"/>
          </w:tcPr>
          <w:p w:rsidR="006B149A" w:rsidRPr="00BD07AE" w:rsidRDefault="00BD07AE" w:rsidP="006B149A">
            <w:pPr>
              <w:jc w:val="both"/>
            </w:pPr>
            <w:r w:rsidRPr="00BD07AE">
              <w:t>Trafficking in persons</w:t>
            </w:r>
          </w:p>
          <w:p w:rsidR="006B149A" w:rsidRPr="00BD07AE" w:rsidRDefault="006B149A" w:rsidP="00260973">
            <w:pPr>
              <w:jc w:val="both"/>
            </w:pPr>
          </w:p>
        </w:tc>
      </w:tr>
      <w:tr w:rsidR="006B149A" w:rsidRPr="00BD07AE" w:rsidTr="00B94B3F">
        <w:tc>
          <w:tcPr>
            <w:tcW w:w="1705" w:type="dxa"/>
            <w:shd w:val="clear" w:color="auto" w:fill="DEEAF6" w:themeFill="accent1" w:themeFillTint="33"/>
          </w:tcPr>
          <w:p w:rsidR="006B149A" w:rsidRPr="00BD07AE" w:rsidRDefault="00B94B3F" w:rsidP="006B149A">
            <w:pPr>
              <w:jc w:val="center"/>
            </w:pPr>
            <w:r w:rsidRPr="00BD07AE">
              <w:t>7</w:t>
            </w:r>
          </w:p>
        </w:tc>
        <w:tc>
          <w:tcPr>
            <w:tcW w:w="7645" w:type="dxa"/>
          </w:tcPr>
          <w:p w:rsidR="006B149A" w:rsidRPr="00BD07AE" w:rsidRDefault="00BD07AE" w:rsidP="00B94B3F">
            <w:pPr>
              <w:jc w:val="both"/>
            </w:pPr>
            <w:r w:rsidRPr="00BD07AE">
              <w:t>Migrant smuggling</w:t>
            </w:r>
          </w:p>
          <w:p w:rsidR="00B94B3F" w:rsidRPr="00BD07AE" w:rsidRDefault="00B94B3F" w:rsidP="00B94B3F">
            <w:pPr>
              <w:jc w:val="both"/>
            </w:pPr>
          </w:p>
        </w:tc>
      </w:tr>
    </w:tbl>
    <w:p w:rsidR="00543CA8" w:rsidRPr="00BD07AE" w:rsidRDefault="00543CA8" w:rsidP="00CC17CA">
      <w:pPr>
        <w:jc w:val="both"/>
      </w:pPr>
    </w:p>
    <w:sectPr w:rsidR="00543CA8" w:rsidRPr="00BD07AE" w:rsidSect="00CC17CA">
      <w:headerReference w:type="default" r:id="rId7"/>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36B" w:rsidRDefault="006B336B" w:rsidP="007F0533">
      <w:pPr>
        <w:spacing w:after="0" w:line="240" w:lineRule="auto"/>
      </w:pPr>
      <w:r>
        <w:separator/>
      </w:r>
    </w:p>
  </w:endnote>
  <w:endnote w:type="continuationSeparator" w:id="0">
    <w:p w:rsidR="006B336B" w:rsidRDefault="006B336B" w:rsidP="007F0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36B" w:rsidRDefault="006B336B" w:rsidP="007F0533">
      <w:pPr>
        <w:spacing w:after="0" w:line="240" w:lineRule="auto"/>
      </w:pPr>
      <w:r>
        <w:separator/>
      </w:r>
    </w:p>
  </w:footnote>
  <w:footnote w:type="continuationSeparator" w:id="0">
    <w:p w:rsidR="006B336B" w:rsidRDefault="006B336B" w:rsidP="007F0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533" w:rsidRDefault="007F0533" w:rsidP="007F0533">
    <w:pPr>
      <w:pStyle w:val="Encabezado"/>
      <w:jc w:val="right"/>
    </w:pPr>
    <w:r>
      <w:rPr>
        <w:noProof/>
      </w:rPr>
      <w:drawing>
        <wp:anchor distT="0" distB="0" distL="114300" distR="114300" simplePos="0" relativeHeight="251659264" behindDoc="0" locked="0" layoutInCell="1" allowOverlap="1" wp14:anchorId="368E2A81" wp14:editId="07016432">
          <wp:simplePos x="0" y="0"/>
          <wp:positionH relativeFrom="margin">
            <wp:posOffset>-139065</wp:posOffset>
          </wp:positionH>
          <wp:positionV relativeFrom="margin">
            <wp:posOffset>-855980</wp:posOffset>
          </wp:positionV>
          <wp:extent cx="1962785" cy="780415"/>
          <wp:effectExtent l="0" t="0" r="0" b="635"/>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785" cy="7804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B6D7C1F" wp14:editId="123FA6AD">
          <wp:extent cx="2009775" cy="560705"/>
          <wp:effectExtent l="0" t="0" r="9525"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775" cy="560705"/>
                  </a:xfrm>
                  <a:prstGeom prst="rect">
                    <a:avLst/>
                  </a:prstGeom>
                  <a:noFill/>
                  <a:ln>
                    <a:noFill/>
                  </a:ln>
                </pic:spPr>
              </pic:pic>
            </a:graphicData>
          </a:graphic>
        </wp:inline>
      </w:drawing>
    </w:r>
  </w:p>
  <w:p w:rsidR="007F0533" w:rsidRDefault="007F05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D5F83"/>
    <w:multiLevelType w:val="hybridMultilevel"/>
    <w:tmpl w:val="D840B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34740F"/>
    <w:multiLevelType w:val="hybridMultilevel"/>
    <w:tmpl w:val="6FAC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9E298B"/>
    <w:multiLevelType w:val="hybridMultilevel"/>
    <w:tmpl w:val="0ED69498"/>
    <w:lvl w:ilvl="0" w:tplc="877885F0">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4E55BD"/>
    <w:multiLevelType w:val="hybridMultilevel"/>
    <w:tmpl w:val="1C2A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591"/>
    <w:rsid w:val="000120E7"/>
    <w:rsid w:val="00012573"/>
    <w:rsid w:val="000141F5"/>
    <w:rsid w:val="00075329"/>
    <w:rsid w:val="00075942"/>
    <w:rsid w:val="00097974"/>
    <w:rsid w:val="000A17BB"/>
    <w:rsid w:val="000C0112"/>
    <w:rsid w:val="00130F0E"/>
    <w:rsid w:val="00190B8B"/>
    <w:rsid w:val="001D7025"/>
    <w:rsid w:val="001E6F3C"/>
    <w:rsid w:val="001E7A06"/>
    <w:rsid w:val="00242856"/>
    <w:rsid w:val="00260973"/>
    <w:rsid w:val="00286B58"/>
    <w:rsid w:val="00332A25"/>
    <w:rsid w:val="003D2A47"/>
    <w:rsid w:val="003D4322"/>
    <w:rsid w:val="00461D10"/>
    <w:rsid w:val="00466E85"/>
    <w:rsid w:val="005279F3"/>
    <w:rsid w:val="00543CA8"/>
    <w:rsid w:val="00575F77"/>
    <w:rsid w:val="0058785F"/>
    <w:rsid w:val="00617B52"/>
    <w:rsid w:val="00620CFB"/>
    <w:rsid w:val="0069095E"/>
    <w:rsid w:val="00692591"/>
    <w:rsid w:val="006B149A"/>
    <w:rsid w:val="006B336B"/>
    <w:rsid w:val="006E35A5"/>
    <w:rsid w:val="006E75CB"/>
    <w:rsid w:val="006F1465"/>
    <w:rsid w:val="00736592"/>
    <w:rsid w:val="007538D5"/>
    <w:rsid w:val="00796791"/>
    <w:rsid w:val="007A5750"/>
    <w:rsid w:val="007E0484"/>
    <w:rsid w:val="007F0533"/>
    <w:rsid w:val="00822F2A"/>
    <w:rsid w:val="0083285C"/>
    <w:rsid w:val="0089794D"/>
    <w:rsid w:val="008B2629"/>
    <w:rsid w:val="008D0638"/>
    <w:rsid w:val="008E3DE8"/>
    <w:rsid w:val="008E79F1"/>
    <w:rsid w:val="00921AE4"/>
    <w:rsid w:val="00927171"/>
    <w:rsid w:val="009B5BB4"/>
    <w:rsid w:val="00A06090"/>
    <w:rsid w:val="00A34BD7"/>
    <w:rsid w:val="00A802C7"/>
    <w:rsid w:val="00AA0B7A"/>
    <w:rsid w:val="00AB4EB0"/>
    <w:rsid w:val="00B07343"/>
    <w:rsid w:val="00B12FFD"/>
    <w:rsid w:val="00B54347"/>
    <w:rsid w:val="00B55293"/>
    <w:rsid w:val="00B55AF2"/>
    <w:rsid w:val="00B91C23"/>
    <w:rsid w:val="00B94B3F"/>
    <w:rsid w:val="00BD07AE"/>
    <w:rsid w:val="00BD682C"/>
    <w:rsid w:val="00BF49E1"/>
    <w:rsid w:val="00C01BEC"/>
    <w:rsid w:val="00C15A71"/>
    <w:rsid w:val="00C24E67"/>
    <w:rsid w:val="00CA41BB"/>
    <w:rsid w:val="00CA7709"/>
    <w:rsid w:val="00CC17CA"/>
    <w:rsid w:val="00E83A41"/>
    <w:rsid w:val="00EB618C"/>
    <w:rsid w:val="00EB75BF"/>
    <w:rsid w:val="00EF2184"/>
    <w:rsid w:val="00F07487"/>
    <w:rsid w:val="00FD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B16C"/>
  <w15:docId w15:val="{3240096E-6C44-40E5-B107-2CC81DA7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5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2591"/>
    <w:pPr>
      <w:ind w:left="720"/>
      <w:contextualSpacing/>
    </w:pPr>
  </w:style>
  <w:style w:type="paragraph" w:styleId="Encabezado">
    <w:name w:val="header"/>
    <w:basedOn w:val="Normal"/>
    <w:link w:val="EncabezadoCar"/>
    <w:uiPriority w:val="99"/>
    <w:unhideWhenUsed/>
    <w:rsid w:val="007F053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F0533"/>
  </w:style>
  <w:style w:type="paragraph" w:styleId="Piedepgina">
    <w:name w:val="footer"/>
    <w:basedOn w:val="Normal"/>
    <w:link w:val="PiedepginaCar"/>
    <w:uiPriority w:val="99"/>
    <w:unhideWhenUsed/>
    <w:rsid w:val="007F053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F0533"/>
  </w:style>
  <w:style w:type="paragraph" w:styleId="Sinespaciado">
    <w:name w:val="No Spacing"/>
    <w:link w:val="SinespaciadoCar"/>
    <w:uiPriority w:val="1"/>
    <w:qFormat/>
    <w:rsid w:val="007F0533"/>
    <w:pPr>
      <w:spacing w:after="0" w:line="240" w:lineRule="auto"/>
    </w:pPr>
    <w:rPr>
      <w:lang w:val="es-ES"/>
    </w:rPr>
  </w:style>
  <w:style w:type="character" w:customStyle="1" w:styleId="SinespaciadoCar">
    <w:name w:val="Sin espaciado Car"/>
    <w:basedOn w:val="Fuentedeprrafopredeter"/>
    <w:link w:val="Sinespaciado"/>
    <w:uiPriority w:val="1"/>
    <w:rsid w:val="007F0533"/>
    <w:rPr>
      <w:lang w:val="es-ES"/>
    </w:rPr>
  </w:style>
  <w:style w:type="table" w:styleId="Tablaconcuadrcula">
    <w:name w:val="Table Grid"/>
    <w:basedOn w:val="Tablanormal"/>
    <w:uiPriority w:val="39"/>
    <w:rsid w:val="00543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CA41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948</Words>
  <Characters>5219</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SERRANO Luis Alonso</dc:creator>
  <cp:lastModifiedBy>Renán Rodas</cp:lastModifiedBy>
  <cp:revision>26</cp:revision>
  <dcterms:created xsi:type="dcterms:W3CDTF">2018-05-09T21:06:00Z</dcterms:created>
  <dcterms:modified xsi:type="dcterms:W3CDTF">2018-05-12T16:57:00Z</dcterms:modified>
</cp:coreProperties>
</file>