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2559"/>
        <w:gridCol w:w="4601"/>
      </w:tblGrid>
      <w:tr w:rsidR="006E3CAA" w:rsidTr="006E3CAA">
        <w:trPr>
          <w:trHeight w:val="1977"/>
          <w:jc w:val="center"/>
        </w:trPr>
        <w:tc>
          <w:tcPr>
            <w:tcW w:w="1696" w:type="dxa"/>
          </w:tcPr>
          <w:p w:rsidR="006E3CAA" w:rsidRDefault="00FB5657" w:rsidP="006E3CAA">
            <w:pPr>
              <w:spacing w:after="0" w:line="240" w:lineRule="auto"/>
              <w:rPr>
                <w:noProof/>
                <w:lang w:val="es-CR" w:eastAsia="es-CR"/>
              </w:rPr>
            </w:pPr>
            <w:bookmarkStart w:id="0" w:name="_GoBack"/>
            <w:bookmarkEnd w:id="0"/>
            <w:r>
              <w:rPr>
                <w:noProof/>
                <w:lang w:val="en-US"/>
              </w:rPr>
              <w:drawing>
                <wp:inline distT="0" distB="0" distL="0" distR="0">
                  <wp:extent cx="1468755" cy="1136015"/>
                  <wp:effectExtent l="19050" t="0" r="0" b="0"/>
                  <wp:docPr id="5" name="Imagen 7" descr="http://www.racsa.co.cr/servicios/empresariales/dg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racsa.co.cr/servicios/empresariales/dgme/logo.jpg"/>
                          <pic:cNvPicPr>
                            <a:picLocks noChangeAspect="1" noChangeArrowheads="1"/>
                          </pic:cNvPicPr>
                        </pic:nvPicPr>
                        <pic:blipFill>
                          <a:blip r:embed="rId9" cstate="print"/>
                          <a:srcRect l="63921" t="16280" r="3340" b="31163"/>
                          <a:stretch>
                            <a:fillRect/>
                          </a:stretch>
                        </pic:blipFill>
                        <pic:spPr bwMode="auto">
                          <a:xfrm>
                            <a:off x="0" y="0"/>
                            <a:ext cx="1468755" cy="1136015"/>
                          </a:xfrm>
                          <a:prstGeom prst="rect">
                            <a:avLst/>
                          </a:prstGeom>
                          <a:noFill/>
                          <a:ln w="9525">
                            <a:noFill/>
                            <a:miter lim="800000"/>
                            <a:headEnd/>
                            <a:tailEnd/>
                          </a:ln>
                        </pic:spPr>
                      </pic:pic>
                    </a:graphicData>
                  </a:graphic>
                </wp:inline>
              </w:drawing>
            </w:r>
          </w:p>
          <w:p w:rsidR="006E3CAA" w:rsidRPr="006E3CAA" w:rsidRDefault="006E3CAA" w:rsidP="006E3CAA">
            <w:pPr>
              <w:spacing w:after="0" w:line="240" w:lineRule="auto"/>
              <w:rPr>
                <w:noProof/>
                <w:lang w:val="en-US"/>
              </w:rPr>
            </w:pPr>
            <w:r>
              <w:rPr>
                <w:b/>
                <w:noProof/>
                <w:lang w:val="en-US"/>
              </w:rPr>
              <w:t xml:space="preserve"> </w:t>
            </w:r>
            <w:r w:rsidRPr="006E3CAA">
              <w:rPr>
                <w:b/>
                <w:noProof/>
                <w:lang w:val="en-US"/>
              </w:rPr>
              <w:t>República de Costa Rica</w:t>
            </w:r>
          </w:p>
        </w:tc>
        <w:tc>
          <w:tcPr>
            <w:tcW w:w="3090" w:type="dxa"/>
          </w:tcPr>
          <w:p w:rsidR="006E3CAA" w:rsidRPr="006E3CAA" w:rsidRDefault="00FB5657" w:rsidP="006E3CAA">
            <w:pPr>
              <w:spacing w:after="0" w:line="240" w:lineRule="auto"/>
              <w:jc w:val="center"/>
              <w:rPr>
                <w:noProof/>
                <w:lang w:val="en-US"/>
              </w:rPr>
            </w:pPr>
            <w:r>
              <w:rPr>
                <w:noProof/>
                <w:lang w:val="en-US"/>
              </w:rPr>
              <w:drawing>
                <wp:inline distT="0" distB="0" distL="0" distR="0">
                  <wp:extent cx="2784475" cy="1343660"/>
                  <wp:effectExtent l="0" t="0" r="0" b="0"/>
                  <wp:docPr id="6" name="0 Imagen" descr="logo CRM trans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RM transparente.gif"/>
                          <pic:cNvPicPr>
                            <a:picLocks noChangeAspect="1" noChangeArrowheads="1"/>
                          </pic:cNvPicPr>
                        </pic:nvPicPr>
                        <pic:blipFill>
                          <a:blip r:embed="rId10" cstate="print"/>
                          <a:srcRect/>
                          <a:stretch>
                            <a:fillRect/>
                          </a:stretch>
                        </pic:blipFill>
                        <pic:spPr bwMode="auto">
                          <a:xfrm>
                            <a:off x="0" y="0"/>
                            <a:ext cx="2784475" cy="1343660"/>
                          </a:xfrm>
                          <a:prstGeom prst="rect">
                            <a:avLst/>
                          </a:prstGeom>
                          <a:noFill/>
                          <a:ln w="9525">
                            <a:noFill/>
                            <a:miter lim="800000"/>
                            <a:headEnd/>
                            <a:tailEnd/>
                          </a:ln>
                        </pic:spPr>
                      </pic:pic>
                    </a:graphicData>
                  </a:graphic>
                </wp:inline>
              </w:drawing>
            </w:r>
          </w:p>
        </w:tc>
      </w:tr>
    </w:tbl>
    <w:p w:rsidR="00A87A88" w:rsidRDefault="00A87A88" w:rsidP="00A87A88">
      <w:pPr>
        <w:spacing w:after="0" w:line="240" w:lineRule="auto"/>
        <w:jc w:val="center"/>
        <w:rPr>
          <w:b/>
          <w:sz w:val="28"/>
          <w:szCs w:val="28"/>
          <w:lang w:val="es-ES_tradnl"/>
        </w:rPr>
      </w:pPr>
    </w:p>
    <w:p w:rsidR="008E0BA5" w:rsidRDefault="00872732" w:rsidP="00A87A88">
      <w:pPr>
        <w:spacing w:after="0" w:line="240" w:lineRule="auto"/>
        <w:jc w:val="center"/>
        <w:rPr>
          <w:b/>
          <w:sz w:val="28"/>
          <w:szCs w:val="28"/>
          <w:lang w:val="es-ES_tradnl"/>
        </w:rPr>
      </w:pPr>
      <w:r>
        <w:rPr>
          <w:b/>
          <w:sz w:val="28"/>
          <w:szCs w:val="28"/>
          <w:lang w:val="es-ES_tradnl"/>
        </w:rPr>
        <w:t>Taller sobre niños, niñas y a</w:t>
      </w:r>
      <w:r w:rsidR="00F166F9" w:rsidRPr="0054454B">
        <w:rPr>
          <w:b/>
          <w:sz w:val="28"/>
          <w:szCs w:val="28"/>
          <w:lang w:val="es-ES_tradnl"/>
        </w:rPr>
        <w:t xml:space="preserve">dolescentes </w:t>
      </w:r>
      <w:r w:rsidR="008E0BA5">
        <w:rPr>
          <w:b/>
          <w:sz w:val="28"/>
          <w:szCs w:val="28"/>
          <w:lang w:val="es-ES_tradnl"/>
        </w:rPr>
        <w:t xml:space="preserve">Migrantes y Refugiados </w:t>
      </w:r>
    </w:p>
    <w:p w:rsidR="00836999" w:rsidRPr="0054454B" w:rsidRDefault="00F96717" w:rsidP="00A87A88">
      <w:pPr>
        <w:spacing w:after="0" w:line="240" w:lineRule="auto"/>
        <w:jc w:val="center"/>
        <w:rPr>
          <w:b/>
          <w:sz w:val="24"/>
          <w:szCs w:val="24"/>
          <w:lang w:val="es-ES_tradnl"/>
        </w:rPr>
      </w:pPr>
      <w:r w:rsidRPr="0054454B">
        <w:rPr>
          <w:b/>
          <w:sz w:val="24"/>
          <w:szCs w:val="24"/>
          <w:lang w:val="es-ES_tradnl"/>
        </w:rPr>
        <w:t xml:space="preserve">San </w:t>
      </w:r>
      <w:r w:rsidR="0054454B" w:rsidRPr="0054454B">
        <w:rPr>
          <w:b/>
          <w:sz w:val="24"/>
          <w:szCs w:val="24"/>
          <w:lang w:val="es-ES_tradnl"/>
        </w:rPr>
        <w:t>José</w:t>
      </w:r>
      <w:r w:rsidRPr="0054454B">
        <w:rPr>
          <w:b/>
          <w:sz w:val="24"/>
          <w:szCs w:val="24"/>
          <w:lang w:val="es-ES_tradnl"/>
        </w:rPr>
        <w:t xml:space="preserve">, Costa Rica, </w:t>
      </w:r>
      <w:r w:rsidR="00E9521C">
        <w:rPr>
          <w:b/>
          <w:sz w:val="24"/>
          <w:szCs w:val="24"/>
          <w:lang w:val="es-ES_tradnl"/>
        </w:rPr>
        <w:t>27 y 28 de marzo de 2012</w:t>
      </w:r>
      <w:r w:rsidRPr="0054454B">
        <w:rPr>
          <w:b/>
          <w:sz w:val="24"/>
          <w:szCs w:val="24"/>
          <w:lang w:val="es-ES_tradnl"/>
        </w:rPr>
        <w:t xml:space="preserve"> </w:t>
      </w:r>
    </w:p>
    <w:p w:rsidR="00BB63AA" w:rsidRPr="0054454B" w:rsidRDefault="00E9521C" w:rsidP="00A87A88">
      <w:pPr>
        <w:spacing w:after="0" w:line="240" w:lineRule="auto"/>
        <w:jc w:val="center"/>
        <w:rPr>
          <w:b/>
          <w:sz w:val="24"/>
          <w:szCs w:val="24"/>
          <w:lang w:val="es-ES_tradnl"/>
        </w:rPr>
      </w:pPr>
      <w:r>
        <w:rPr>
          <w:b/>
          <w:sz w:val="24"/>
          <w:szCs w:val="24"/>
          <w:lang w:val="es-ES_tradnl"/>
        </w:rPr>
        <w:t xml:space="preserve">Documento </w:t>
      </w:r>
      <w:r w:rsidR="006E1434">
        <w:rPr>
          <w:b/>
          <w:sz w:val="24"/>
          <w:szCs w:val="24"/>
          <w:lang w:val="es-ES_tradnl"/>
        </w:rPr>
        <w:t>conceptual</w:t>
      </w:r>
    </w:p>
    <w:p w:rsidR="00F166F9" w:rsidRPr="0054454B" w:rsidRDefault="00F166F9" w:rsidP="00172B91">
      <w:pPr>
        <w:rPr>
          <w:b/>
          <w:sz w:val="24"/>
          <w:szCs w:val="24"/>
          <w:lang w:val="es-ES_tradnl"/>
        </w:rPr>
      </w:pPr>
      <w:r w:rsidRPr="0054454B">
        <w:rPr>
          <w:b/>
          <w:sz w:val="24"/>
          <w:szCs w:val="24"/>
          <w:lang w:val="es-ES_tradnl"/>
        </w:rPr>
        <w:t>Antecedentes y Justificación</w:t>
      </w:r>
    </w:p>
    <w:p w:rsidR="00EC27D4" w:rsidRPr="0054454B" w:rsidRDefault="00EC27D4" w:rsidP="00BB7EA7">
      <w:pPr>
        <w:jc w:val="both"/>
        <w:rPr>
          <w:rFonts w:cs="Calibri"/>
          <w:color w:val="000000"/>
          <w:lang w:val="es-ES_tradnl"/>
        </w:rPr>
      </w:pPr>
      <w:r w:rsidRPr="0054454B">
        <w:rPr>
          <w:rFonts w:cs="Calibri"/>
          <w:color w:val="000000"/>
          <w:lang w:val="es-ES_tradnl"/>
        </w:rPr>
        <w:t xml:space="preserve">Como región mayoritariamente de origen y tránsito, </w:t>
      </w:r>
      <w:r w:rsidR="00BB7EA7" w:rsidRPr="0054454B">
        <w:rPr>
          <w:rFonts w:cs="Calibri"/>
          <w:color w:val="000000"/>
          <w:lang w:val="es-ES_tradnl"/>
        </w:rPr>
        <w:t>Centroamérica presenta flujos migratorios sumamente complejos</w:t>
      </w:r>
      <w:r w:rsidRPr="0054454B">
        <w:rPr>
          <w:rFonts w:cs="Calibri"/>
          <w:color w:val="000000"/>
          <w:lang w:val="es-ES_tradnl"/>
        </w:rPr>
        <w:t xml:space="preserve">. Se </w:t>
      </w:r>
      <w:r w:rsidR="00CA3834" w:rsidRPr="0054454B">
        <w:rPr>
          <w:rFonts w:cs="Calibri"/>
          <w:color w:val="000000"/>
          <w:lang w:val="es-ES_tradnl"/>
        </w:rPr>
        <w:t>une además</w:t>
      </w:r>
      <w:r w:rsidRPr="0054454B">
        <w:rPr>
          <w:rFonts w:cs="Calibri"/>
          <w:color w:val="000000"/>
          <w:lang w:val="es-ES_tradnl"/>
        </w:rPr>
        <w:t xml:space="preserve"> la migración </w:t>
      </w:r>
      <w:proofErr w:type="spellStart"/>
      <w:r w:rsidRPr="0054454B">
        <w:rPr>
          <w:rFonts w:cs="Calibri"/>
          <w:color w:val="000000"/>
          <w:lang w:val="es-ES_tradnl"/>
        </w:rPr>
        <w:t>intra</w:t>
      </w:r>
      <w:proofErr w:type="spellEnd"/>
      <w:r w:rsidRPr="0054454B">
        <w:rPr>
          <w:rFonts w:cs="Calibri"/>
          <w:color w:val="000000"/>
          <w:lang w:val="es-ES_tradnl"/>
        </w:rPr>
        <w:t xml:space="preserve">-regional sur-sur, </w:t>
      </w:r>
      <w:r w:rsidR="002B72CD" w:rsidRPr="0054454B">
        <w:rPr>
          <w:rFonts w:cs="Calibri"/>
          <w:color w:val="000000"/>
          <w:lang w:val="es-ES_tradnl"/>
        </w:rPr>
        <w:t>así</w:t>
      </w:r>
      <w:r w:rsidRPr="0054454B">
        <w:rPr>
          <w:rFonts w:cs="Calibri"/>
          <w:color w:val="000000"/>
          <w:lang w:val="es-ES_tradnl"/>
        </w:rPr>
        <w:t xml:space="preserve"> como la migración interna. </w:t>
      </w:r>
      <w:r w:rsidR="000452EB" w:rsidRPr="0054454B">
        <w:rPr>
          <w:rFonts w:cs="Calibri"/>
          <w:color w:val="000000"/>
          <w:lang w:val="es-ES_tradnl"/>
        </w:rPr>
        <w:t xml:space="preserve">Contribuye a esta complejidad la migración de </w:t>
      </w:r>
      <w:r w:rsidR="00DC3334" w:rsidRPr="0054454B">
        <w:rPr>
          <w:rFonts w:cs="Calibri"/>
          <w:color w:val="000000"/>
          <w:lang w:val="es-ES_tradnl"/>
        </w:rPr>
        <w:t xml:space="preserve"> personas menores de edad</w:t>
      </w:r>
      <w:r w:rsidR="000452EB" w:rsidRPr="0054454B">
        <w:rPr>
          <w:rFonts w:cs="Calibri"/>
          <w:color w:val="000000"/>
          <w:lang w:val="es-ES_tradnl"/>
        </w:rPr>
        <w:t>,</w:t>
      </w:r>
      <w:r w:rsidR="009014C6">
        <w:rPr>
          <w:rFonts w:cs="Calibri"/>
          <w:color w:val="000000"/>
          <w:lang w:val="es-ES_tradnl"/>
        </w:rPr>
        <w:t xml:space="preserve"> dado que su condición etaria la</w:t>
      </w:r>
      <w:r w:rsidR="000452EB" w:rsidRPr="0054454B">
        <w:rPr>
          <w:rFonts w:cs="Calibri"/>
          <w:color w:val="000000"/>
          <w:lang w:val="es-ES_tradnl"/>
        </w:rPr>
        <w:t>s expone a una situación de mayor vulnerabilidad</w:t>
      </w:r>
      <w:r w:rsidRPr="0054454B">
        <w:rPr>
          <w:rFonts w:cs="Calibri"/>
          <w:color w:val="000000"/>
          <w:lang w:val="es-ES_tradnl"/>
        </w:rPr>
        <w:t xml:space="preserve"> a </w:t>
      </w:r>
      <w:r w:rsidR="002B72CD" w:rsidRPr="0054454B">
        <w:rPr>
          <w:rFonts w:cs="Calibri"/>
          <w:color w:val="000000"/>
          <w:lang w:val="es-ES_tradnl"/>
        </w:rPr>
        <w:t>todo tipo de explotación</w:t>
      </w:r>
      <w:r w:rsidR="009014C6">
        <w:rPr>
          <w:rFonts w:cs="Calibri"/>
          <w:color w:val="000000"/>
          <w:lang w:val="es-ES_tradnl"/>
        </w:rPr>
        <w:t>, especialmente las que viajan no acompañadas o separadas de sus familias y las indígenas</w:t>
      </w:r>
      <w:r w:rsidR="002B72CD" w:rsidRPr="0054454B">
        <w:rPr>
          <w:rFonts w:cs="Calibri"/>
          <w:color w:val="000000"/>
          <w:lang w:val="es-ES_tradnl"/>
        </w:rPr>
        <w:t xml:space="preserve">. </w:t>
      </w:r>
    </w:p>
    <w:p w:rsidR="00EB6E4E" w:rsidRDefault="002B72CD" w:rsidP="003207DA">
      <w:pPr>
        <w:spacing w:after="0" w:line="240" w:lineRule="auto"/>
        <w:jc w:val="both"/>
        <w:rPr>
          <w:rFonts w:cs="Calibri"/>
          <w:color w:val="000000"/>
          <w:lang w:val="es-ES_tradnl"/>
        </w:rPr>
      </w:pPr>
      <w:r w:rsidRPr="0054454B">
        <w:rPr>
          <w:rFonts w:cs="Calibri"/>
          <w:color w:val="000000"/>
          <w:lang w:val="es-ES_tradnl"/>
        </w:rPr>
        <w:t xml:space="preserve">Conscientes de la necesidad de coordinar esfuerzos para proteger a los </w:t>
      </w:r>
      <w:r w:rsidR="00EB6E4E" w:rsidRPr="0054454B">
        <w:rPr>
          <w:rFonts w:cs="Calibri"/>
          <w:color w:val="000000"/>
          <w:lang w:val="es-ES_tradnl"/>
        </w:rPr>
        <w:t>niños</w:t>
      </w:r>
      <w:r w:rsidRPr="0054454B">
        <w:rPr>
          <w:rFonts w:cs="Calibri"/>
          <w:color w:val="000000"/>
          <w:lang w:val="es-ES_tradnl"/>
        </w:rPr>
        <w:t xml:space="preserve">, </w:t>
      </w:r>
      <w:r w:rsidR="00EB6E4E" w:rsidRPr="0054454B">
        <w:rPr>
          <w:rFonts w:cs="Calibri"/>
          <w:color w:val="000000"/>
          <w:lang w:val="es-ES_tradnl"/>
        </w:rPr>
        <w:t>niñas</w:t>
      </w:r>
      <w:r w:rsidRPr="0054454B">
        <w:rPr>
          <w:rFonts w:cs="Calibri"/>
          <w:color w:val="000000"/>
          <w:lang w:val="es-ES_tradnl"/>
        </w:rPr>
        <w:t xml:space="preserve"> y </w:t>
      </w:r>
      <w:r w:rsidR="00EB6E4E" w:rsidRPr="0054454B">
        <w:rPr>
          <w:rFonts w:cs="Calibri"/>
          <w:color w:val="000000"/>
          <w:lang w:val="es-ES_tradnl"/>
        </w:rPr>
        <w:t>adolescentes en el contexto migratorio</w:t>
      </w:r>
      <w:r w:rsidRPr="0054454B">
        <w:rPr>
          <w:rFonts w:cs="Calibri"/>
          <w:color w:val="000000"/>
          <w:lang w:val="es-ES_tradnl"/>
        </w:rPr>
        <w:t xml:space="preserve">, la  Conferencia Regional sobre </w:t>
      </w:r>
      <w:r w:rsidR="00EB6E4E" w:rsidRPr="0054454B">
        <w:rPr>
          <w:rFonts w:cs="Calibri"/>
          <w:color w:val="000000"/>
          <w:lang w:val="es-ES_tradnl"/>
        </w:rPr>
        <w:t>Migración</w:t>
      </w:r>
      <w:r w:rsidR="0005462B" w:rsidRPr="0054454B">
        <w:rPr>
          <w:rFonts w:cs="Calibri"/>
          <w:color w:val="000000"/>
          <w:lang w:val="es-ES_tradnl"/>
        </w:rPr>
        <w:t xml:space="preserve"> (</w:t>
      </w:r>
      <w:smartTag w:uri="urn:schemas-microsoft-com:office:smarttags" w:element="stockticker">
        <w:r w:rsidR="0005462B" w:rsidRPr="0054454B">
          <w:rPr>
            <w:rFonts w:cs="Calibri"/>
            <w:color w:val="000000"/>
            <w:lang w:val="es-ES_tradnl"/>
          </w:rPr>
          <w:t>CRM</w:t>
        </w:r>
      </w:smartTag>
      <w:r w:rsidR="0005462B" w:rsidRPr="0054454B">
        <w:rPr>
          <w:rFonts w:cs="Calibri"/>
          <w:color w:val="000000"/>
          <w:lang w:val="es-ES_tradnl"/>
        </w:rPr>
        <w:t>)</w:t>
      </w:r>
      <w:r w:rsidRPr="0054454B">
        <w:rPr>
          <w:rFonts w:cs="Calibri"/>
          <w:color w:val="000000"/>
          <w:lang w:val="es-ES_tradnl"/>
        </w:rPr>
        <w:t xml:space="preserve"> ha incluido </w:t>
      </w:r>
      <w:r w:rsidR="005D20D0" w:rsidRPr="0054454B">
        <w:rPr>
          <w:rFonts w:cs="Calibri"/>
          <w:color w:val="000000"/>
          <w:lang w:val="es-ES_tradnl"/>
        </w:rPr>
        <w:t xml:space="preserve">este tema </w:t>
      </w:r>
      <w:r w:rsidRPr="0054454B">
        <w:rPr>
          <w:rFonts w:cs="Calibri"/>
          <w:color w:val="000000"/>
          <w:lang w:val="es-ES_tradnl"/>
        </w:rPr>
        <w:t xml:space="preserve">en su agenda de </w:t>
      </w:r>
      <w:r w:rsidR="005D20D0" w:rsidRPr="0054454B">
        <w:rPr>
          <w:rFonts w:cs="Calibri"/>
          <w:color w:val="000000"/>
          <w:lang w:val="es-ES_tradnl"/>
        </w:rPr>
        <w:t>diálogo</w:t>
      </w:r>
      <w:r w:rsidRPr="0054454B">
        <w:rPr>
          <w:rFonts w:cs="Calibri"/>
          <w:color w:val="000000"/>
          <w:lang w:val="es-ES_tradnl"/>
        </w:rPr>
        <w:t xml:space="preserve">. </w:t>
      </w:r>
      <w:r w:rsidR="00EB6E4E" w:rsidRPr="0054454B">
        <w:rPr>
          <w:rFonts w:cs="Calibri"/>
          <w:color w:val="000000"/>
          <w:lang w:val="es-ES_tradnl"/>
        </w:rPr>
        <w:t>El primer esfuerzo lo constituyó el Seminario sobre Mujeres, Niños y Niñas Migrantes realizado en El Salvador en el 2000</w:t>
      </w:r>
      <w:r w:rsidR="000E0CE3">
        <w:rPr>
          <w:rFonts w:cs="Calibri"/>
          <w:color w:val="000000"/>
          <w:lang w:val="es-ES_tradnl"/>
        </w:rPr>
        <w:t>,</w:t>
      </w:r>
      <w:r w:rsidR="00EB6E4E" w:rsidRPr="0054454B">
        <w:rPr>
          <w:rFonts w:cs="Calibri"/>
          <w:color w:val="000000"/>
          <w:lang w:val="es-ES_tradnl"/>
        </w:rPr>
        <w:t xml:space="preserve"> que </w:t>
      </w:r>
      <w:r w:rsidR="005D20D0" w:rsidRPr="0054454B">
        <w:rPr>
          <w:rFonts w:cs="Calibri"/>
          <w:color w:val="000000"/>
          <w:lang w:val="es-ES_tradnl"/>
        </w:rPr>
        <w:t>resultó</w:t>
      </w:r>
      <w:r w:rsidR="00EB6E4E" w:rsidRPr="0054454B">
        <w:rPr>
          <w:rFonts w:cs="Calibri"/>
          <w:color w:val="000000"/>
          <w:lang w:val="es-ES_tradnl"/>
        </w:rPr>
        <w:t xml:space="preserve"> en una serie de recomendaciones en los ámbitos normativos, de acceso</w:t>
      </w:r>
      <w:r w:rsidR="005D20D0" w:rsidRPr="0054454B">
        <w:rPr>
          <w:rFonts w:cs="Calibri"/>
          <w:color w:val="000000"/>
          <w:lang w:val="es-ES_tradnl"/>
        </w:rPr>
        <w:t xml:space="preserve"> a servicios y Derechos Humanos.</w:t>
      </w:r>
      <w:r w:rsidR="00EB6E4E" w:rsidRPr="0054454B">
        <w:rPr>
          <w:rFonts w:cs="Calibri"/>
          <w:color w:val="000000"/>
          <w:lang w:val="es-ES_tradnl"/>
        </w:rPr>
        <w:t xml:space="preserve">  </w:t>
      </w:r>
      <w:r w:rsidR="00BD2EC0" w:rsidRPr="0054454B">
        <w:rPr>
          <w:rFonts w:cs="Calibri"/>
          <w:color w:val="000000"/>
          <w:lang w:val="es-ES_tradnl"/>
        </w:rPr>
        <w:t>Más</w:t>
      </w:r>
      <w:r w:rsidR="00EB6E4E" w:rsidRPr="0054454B">
        <w:rPr>
          <w:rFonts w:cs="Calibri"/>
          <w:color w:val="000000"/>
          <w:lang w:val="es-ES_tradnl"/>
        </w:rPr>
        <w:t xml:space="preserve"> recientemente,  en julio de 2009, la </w:t>
      </w:r>
      <w:smartTag w:uri="urn:schemas-microsoft-com:office:smarttags" w:element="stockticker">
        <w:r w:rsidR="00EB6E4E" w:rsidRPr="0054454B">
          <w:rPr>
            <w:rFonts w:cs="Calibri"/>
            <w:color w:val="000000"/>
            <w:lang w:val="es-ES_tradnl"/>
          </w:rPr>
          <w:t>CRM</w:t>
        </w:r>
      </w:smartTag>
      <w:r w:rsidR="00EB6E4E" w:rsidRPr="0054454B">
        <w:rPr>
          <w:rFonts w:cs="Calibri"/>
          <w:color w:val="000000"/>
          <w:lang w:val="es-ES_tradnl"/>
        </w:rPr>
        <w:t xml:space="preserve"> emitió los Lineamientos Regionales para la Atención de Niños, Niñas y Adolescentes Migrantes no Acompañados en Casos de Repatriación, herramienta concreta de coordinación bilateral y regional. </w:t>
      </w:r>
    </w:p>
    <w:p w:rsidR="003207DA" w:rsidRPr="0054454B" w:rsidRDefault="003207DA" w:rsidP="003207DA">
      <w:pPr>
        <w:spacing w:after="0" w:line="240" w:lineRule="auto"/>
        <w:jc w:val="both"/>
        <w:rPr>
          <w:rFonts w:cs="Calibri"/>
          <w:color w:val="000000"/>
          <w:lang w:val="es-ES_tradnl"/>
        </w:rPr>
      </w:pPr>
    </w:p>
    <w:p w:rsidR="006E3CAA" w:rsidRDefault="0005462B" w:rsidP="00A87A88">
      <w:pPr>
        <w:spacing w:after="0" w:line="240" w:lineRule="auto"/>
        <w:jc w:val="both"/>
        <w:rPr>
          <w:rFonts w:cs="Calibri"/>
          <w:lang w:val="es-ES_tradnl"/>
        </w:rPr>
      </w:pPr>
      <w:r w:rsidRPr="0054454B">
        <w:rPr>
          <w:rFonts w:cs="Calibri"/>
          <w:color w:val="000000"/>
          <w:lang w:val="es-ES_tradnl"/>
        </w:rPr>
        <w:t xml:space="preserve">Reconociendo la </w:t>
      </w:r>
      <w:r w:rsidR="00897B68" w:rsidRPr="0054454B">
        <w:rPr>
          <w:rFonts w:cs="Calibri"/>
          <w:color w:val="000000"/>
          <w:lang w:val="es-ES_tradnl"/>
        </w:rPr>
        <w:t>especial</w:t>
      </w:r>
      <w:r w:rsidRPr="0054454B">
        <w:rPr>
          <w:rFonts w:cs="Calibri"/>
          <w:color w:val="000000"/>
          <w:lang w:val="es-ES_tradnl"/>
        </w:rPr>
        <w:t xml:space="preserve"> vulnerabilidad de </w:t>
      </w:r>
      <w:r w:rsidR="00897B68" w:rsidRPr="0054454B">
        <w:rPr>
          <w:rFonts w:cs="Calibri"/>
          <w:color w:val="000000"/>
          <w:lang w:val="es-ES_tradnl"/>
        </w:rPr>
        <w:t>niños</w:t>
      </w:r>
      <w:r w:rsidRPr="0054454B">
        <w:rPr>
          <w:rFonts w:cs="Calibri"/>
          <w:color w:val="000000"/>
          <w:lang w:val="es-ES_tradnl"/>
        </w:rPr>
        <w:t xml:space="preserve">, </w:t>
      </w:r>
      <w:r w:rsidR="00897B68" w:rsidRPr="0054454B">
        <w:rPr>
          <w:rFonts w:cs="Calibri"/>
          <w:color w:val="000000"/>
          <w:lang w:val="es-ES_tradnl"/>
        </w:rPr>
        <w:t>niñas</w:t>
      </w:r>
      <w:r w:rsidRPr="0054454B">
        <w:rPr>
          <w:rFonts w:cs="Calibri"/>
          <w:color w:val="000000"/>
          <w:lang w:val="es-ES_tradnl"/>
        </w:rPr>
        <w:t xml:space="preserve"> y </w:t>
      </w:r>
      <w:r w:rsidR="00897B68" w:rsidRPr="0054454B">
        <w:rPr>
          <w:rFonts w:cs="Calibri"/>
          <w:color w:val="000000"/>
          <w:lang w:val="es-ES_tradnl"/>
        </w:rPr>
        <w:t>adolescentes</w:t>
      </w:r>
      <w:r w:rsidRPr="0054454B">
        <w:rPr>
          <w:rFonts w:cs="Calibri"/>
          <w:color w:val="000000"/>
          <w:lang w:val="es-ES_tradnl"/>
        </w:rPr>
        <w:t xml:space="preserve"> migrantes no </w:t>
      </w:r>
      <w:r w:rsidR="00897B68" w:rsidRPr="0054454B">
        <w:rPr>
          <w:rFonts w:cs="Calibri"/>
          <w:color w:val="000000"/>
          <w:lang w:val="es-ES_tradnl"/>
        </w:rPr>
        <w:t>acompañados</w:t>
      </w:r>
      <w:r w:rsidR="000E0CE3">
        <w:rPr>
          <w:rFonts w:cs="Calibri"/>
          <w:color w:val="000000"/>
          <w:lang w:val="es-ES_tradnl"/>
        </w:rPr>
        <w:t>,</w:t>
      </w:r>
      <w:r w:rsidRPr="0054454B">
        <w:rPr>
          <w:rFonts w:cs="Calibri"/>
          <w:color w:val="000000"/>
          <w:lang w:val="es-ES_tradnl"/>
        </w:rPr>
        <w:t xml:space="preserve"> </w:t>
      </w:r>
      <w:r w:rsidR="00897B68" w:rsidRPr="0054454B">
        <w:rPr>
          <w:rFonts w:cs="Calibri"/>
          <w:color w:val="000000"/>
          <w:lang w:val="es-ES_tradnl"/>
        </w:rPr>
        <w:t>así</w:t>
      </w:r>
      <w:r w:rsidRPr="0054454B">
        <w:rPr>
          <w:rFonts w:cs="Calibri"/>
          <w:color w:val="000000"/>
          <w:lang w:val="es-ES_tradnl"/>
        </w:rPr>
        <w:t xml:space="preserve"> como los </w:t>
      </w:r>
      <w:r w:rsidR="00897B68" w:rsidRPr="0054454B">
        <w:rPr>
          <w:rFonts w:cs="Calibri"/>
          <w:color w:val="000000"/>
          <w:lang w:val="es-ES_tradnl"/>
        </w:rPr>
        <w:t>vacíos</w:t>
      </w:r>
      <w:r w:rsidRPr="0054454B">
        <w:rPr>
          <w:rFonts w:cs="Calibri"/>
          <w:color w:val="000000"/>
          <w:lang w:val="es-ES_tradnl"/>
        </w:rPr>
        <w:t xml:space="preserve"> de información</w:t>
      </w:r>
      <w:r w:rsidR="005D20D0" w:rsidRPr="0054454B">
        <w:rPr>
          <w:rFonts w:cs="Calibri"/>
          <w:color w:val="000000"/>
          <w:lang w:val="es-ES_tradnl"/>
        </w:rPr>
        <w:t xml:space="preserve">, la </w:t>
      </w:r>
      <w:smartTag w:uri="urn:schemas-microsoft-com:office:smarttags" w:element="stockticker">
        <w:r w:rsidR="005D20D0" w:rsidRPr="0054454B">
          <w:rPr>
            <w:rFonts w:cs="Calibri"/>
            <w:color w:val="000000"/>
            <w:lang w:val="es-ES_tradnl"/>
          </w:rPr>
          <w:t>CRM</w:t>
        </w:r>
      </w:smartTag>
      <w:r w:rsidR="005D20D0" w:rsidRPr="0054454B">
        <w:rPr>
          <w:rFonts w:cs="Calibri"/>
          <w:color w:val="000000"/>
          <w:lang w:val="es-ES_tradnl"/>
        </w:rPr>
        <w:t xml:space="preserve"> decidió</w:t>
      </w:r>
      <w:r w:rsidRPr="0054454B">
        <w:rPr>
          <w:rFonts w:cs="Calibri"/>
          <w:color w:val="000000"/>
          <w:lang w:val="es-ES_tradnl"/>
        </w:rPr>
        <w:t xml:space="preserve"> acoger la propuesta de la OIM de realizar un estudio regional que identificara las magnitudes, características, necesidades particulares, recursos existentes y retos pendientes</w:t>
      </w:r>
      <w:r w:rsidR="00590926" w:rsidRPr="0054454B">
        <w:rPr>
          <w:rFonts w:cs="Calibri"/>
          <w:color w:val="000000"/>
          <w:lang w:val="es-ES_tradnl"/>
        </w:rPr>
        <w:t xml:space="preserve"> en la respuesta institucional</w:t>
      </w:r>
      <w:r w:rsidRPr="0054454B">
        <w:rPr>
          <w:rFonts w:cs="Calibri"/>
          <w:color w:val="000000"/>
          <w:lang w:val="es-ES_tradnl"/>
        </w:rPr>
        <w:t>.</w:t>
      </w:r>
      <w:r w:rsidR="00CA3834" w:rsidRPr="0054454B">
        <w:rPr>
          <w:rFonts w:cs="Calibri"/>
          <w:color w:val="000000"/>
          <w:lang w:val="es-ES_tradnl"/>
        </w:rPr>
        <w:t xml:space="preserve"> El objetivo último es brindar recomendaciones que puedan sentar las bases para una política pública de protección efectiva a este grupo de población.  </w:t>
      </w:r>
      <w:r w:rsidR="00897B68" w:rsidRPr="0054454B">
        <w:rPr>
          <w:rFonts w:cs="Calibri"/>
          <w:color w:val="000000"/>
          <w:lang w:val="es-ES_tradnl"/>
        </w:rPr>
        <w:t xml:space="preserve">Esta decisión </w:t>
      </w:r>
      <w:r w:rsidR="00CA3834" w:rsidRPr="0054454B">
        <w:rPr>
          <w:rFonts w:cs="Calibri"/>
          <w:color w:val="000000"/>
          <w:lang w:val="es-ES_tradnl"/>
        </w:rPr>
        <w:t xml:space="preserve">de la </w:t>
      </w:r>
      <w:smartTag w:uri="urn:schemas-microsoft-com:office:smarttags" w:element="stockticker">
        <w:r w:rsidR="00CA3834" w:rsidRPr="0054454B">
          <w:rPr>
            <w:rFonts w:cs="Calibri"/>
            <w:color w:val="000000"/>
            <w:lang w:val="es-ES_tradnl"/>
          </w:rPr>
          <w:t>CRM</w:t>
        </w:r>
      </w:smartTag>
      <w:r w:rsidR="00CA3834" w:rsidRPr="0054454B">
        <w:rPr>
          <w:rFonts w:cs="Calibri"/>
          <w:color w:val="000000"/>
          <w:lang w:val="es-ES_tradnl"/>
        </w:rPr>
        <w:t xml:space="preserve"> </w:t>
      </w:r>
      <w:r w:rsidRPr="0054454B">
        <w:rPr>
          <w:rFonts w:cs="Calibri"/>
          <w:lang w:val="es-ES_tradnl"/>
        </w:rPr>
        <w:t xml:space="preserve">consta en  las decisiones del encuentro de la </w:t>
      </w:r>
      <w:r w:rsidR="00897B68" w:rsidRPr="0054454B">
        <w:rPr>
          <w:rFonts w:cs="Calibri"/>
          <w:lang w:val="es-ES_tradnl"/>
        </w:rPr>
        <w:t xml:space="preserve"> </w:t>
      </w:r>
      <w:r w:rsidRPr="0054454B">
        <w:rPr>
          <w:rFonts w:cs="Calibri"/>
          <w:lang w:val="es-ES_tradnl"/>
        </w:rPr>
        <w:t xml:space="preserve">XIII Reunión de Viceministros de la </w:t>
      </w:r>
      <w:smartTag w:uri="urn:schemas-microsoft-com:office:smarttags" w:element="stockticker">
        <w:r w:rsidRPr="0054454B">
          <w:rPr>
            <w:rFonts w:cs="Calibri"/>
            <w:lang w:val="es-ES_tradnl"/>
          </w:rPr>
          <w:t>CRM</w:t>
        </w:r>
      </w:smartTag>
      <w:r w:rsidRPr="0054454B">
        <w:rPr>
          <w:rFonts w:cs="Calibri"/>
          <w:lang w:val="es-ES_tradnl"/>
        </w:rPr>
        <w:t>, realizada en Tela, Honduras, 8-9 de mayo de 2008:</w:t>
      </w:r>
    </w:p>
    <w:p w:rsidR="00A87A88" w:rsidRDefault="00A87A88" w:rsidP="003207DA">
      <w:pPr>
        <w:spacing w:after="120" w:line="240" w:lineRule="auto"/>
        <w:jc w:val="both"/>
        <w:rPr>
          <w:rFonts w:cs="Calibri"/>
          <w:i/>
          <w:lang w:val="es-ES_tradnl"/>
        </w:rPr>
      </w:pPr>
    </w:p>
    <w:p w:rsidR="003207DA" w:rsidRDefault="0005462B" w:rsidP="003207DA">
      <w:pPr>
        <w:spacing w:after="120" w:line="240" w:lineRule="auto"/>
        <w:jc w:val="both"/>
        <w:rPr>
          <w:rFonts w:cs="Calibri"/>
          <w:i/>
          <w:lang w:val="es-ES_tradnl"/>
        </w:rPr>
      </w:pPr>
      <w:r w:rsidRPr="0054454B">
        <w:rPr>
          <w:rFonts w:cs="Calibri"/>
          <w:i/>
          <w:lang w:val="es-ES_tradnl"/>
        </w:rPr>
        <w:t>… “</w:t>
      </w:r>
      <w:proofErr w:type="spellStart"/>
      <w:proofErr w:type="gramStart"/>
      <w:r w:rsidRPr="0054454B">
        <w:rPr>
          <w:rFonts w:cs="Calibri"/>
          <w:i/>
          <w:lang w:val="es-ES_tradnl"/>
        </w:rPr>
        <w:t>acog</w:t>
      </w:r>
      <w:proofErr w:type="spellEnd"/>
      <w:r w:rsidRPr="0054454B">
        <w:rPr>
          <w:rFonts w:cs="Calibri"/>
          <w:i/>
          <w:lang w:val="es-ES_tradnl"/>
        </w:rPr>
        <w:t>[</w:t>
      </w:r>
      <w:proofErr w:type="spellStart"/>
      <w:proofErr w:type="gramEnd"/>
      <w:r w:rsidRPr="0054454B">
        <w:rPr>
          <w:rFonts w:cs="Calibri"/>
          <w:i/>
          <w:lang w:val="es-ES_tradnl"/>
        </w:rPr>
        <w:t>er</w:t>
      </w:r>
      <w:proofErr w:type="spellEnd"/>
      <w:r w:rsidRPr="0054454B">
        <w:rPr>
          <w:rFonts w:cs="Calibri"/>
          <w:i/>
          <w:lang w:val="es-ES_tradnl"/>
        </w:rPr>
        <w:t>] con beneplácito la propuesta presentada por la OIM sobre el Proyecto de Fortalecimiento de la Protección de Personas Menores Migrantes no Acompañados. Asimismo, agradecer al Gobierno de Costa Rica por ofrecerse como anfitrión del seminario regional que se realizaría sobre la temática.”</w:t>
      </w:r>
    </w:p>
    <w:p w:rsidR="003207DA" w:rsidRDefault="003207DA" w:rsidP="003207DA">
      <w:pPr>
        <w:spacing w:after="120" w:line="240" w:lineRule="auto"/>
        <w:jc w:val="both"/>
        <w:rPr>
          <w:rFonts w:cs="Calibri"/>
          <w:i/>
          <w:lang w:val="es-ES_tradnl"/>
        </w:rPr>
      </w:pPr>
    </w:p>
    <w:p w:rsidR="003207DA" w:rsidRDefault="003207DA" w:rsidP="00A87A88">
      <w:pPr>
        <w:spacing w:after="0" w:line="240" w:lineRule="auto"/>
        <w:jc w:val="both"/>
        <w:rPr>
          <w:rFonts w:cs="Calibri"/>
          <w:i/>
          <w:lang w:val="es-ES_tradnl"/>
        </w:rPr>
      </w:pPr>
    </w:p>
    <w:p w:rsidR="003207DA" w:rsidRDefault="003207DA" w:rsidP="00A87A88">
      <w:pPr>
        <w:spacing w:after="0" w:line="240" w:lineRule="auto"/>
        <w:jc w:val="both"/>
        <w:rPr>
          <w:rFonts w:cs="Calibri"/>
          <w:i/>
          <w:lang w:val="es-ES_tradnl"/>
        </w:rPr>
      </w:pPr>
    </w:p>
    <w:p w:rsidR="003207DA" w:rsidRDefault="003207DA" w:rsidP="003207DA">
      <w:pPr>
        <w:spacing w:after="0" w:line="240" w:lineRule="auto"/>
        <w:jc w:val="center"/>
        <w:rPr>
          <w:noProof/>
          <w:lang w:eastAsia="es-CR"/>
        </w:rPr>
      </w:pPr>
      <w:r>
        <w:rPr>
          <w:noProof/>
          <w:lang w:val="en-US"/>
        </w:rPr>
        <w:drawing>
          <wp:inline distT="0" distB="0" distL="0" distR="0">
            <wp:extent cx="760730" cy="929640"/>
            <wp:effectExtent l="19050" t="0" r="1270" b="0"/>
            <wp:docPr id="11" name="174 Imagen" descr="60th anniversary IOM logo IOM blue no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 Imagen" descr="60th anniversary IOM logo IOM blue no text.png"/>
                    <pic:cNvPicPr>
                      <a:picLocks noChangeAspect="1" noChangeArrowheads="1"/>
                    </pic:cNvPicPr>
                  </pic:nvPicPr>
                  <pic:blipFill>
                    <a:blip r:embed="rId11" cstate="print"/>
                    <a:srcRect/>
                    <a:stretch>
                      <a:fillRect/>
                    </a:stretch>
                  </pic:blipFill>
                  <pic:spPr bwMode="auto">
                    <a:xfrm>
                      <a:off x="0" y="0"/>
                      <a:ext cx="760730" cy="929640"/>
                    </a:xfrm>
                    <a:prstGeom prst="rect">
                      <a:avLst/>
                    </a:prstGeom>
                    <a:noFill/>
                    <a:ln w="9525">
                      <a:noFill/>
                      <a:miter lim="800000"/>
                      <a:headEnd/>
                      <a:tailEnd/>
                    </a:ln>
                  </pic:spPr>
                </pic:pic>
              </a:graphicData>
            </a:graphic>
          </wp:inline>
        </w:drawing>
      </w:r>
      <w:r>
        <w:rPr>
          <w:noProof/>
          <w:lang w:val="en-US"/>
        </w:rPr>
        <w:drawing>
          <wp:inline distT="0" distB="0" distL="0" distR="0">
            <wp:extent cx="814705" cy="760730"/>
            <wp:effectExtent l="19050" t="0" r="4445" b="0"/>
            <wp:docPr id="12" name="176 Imagen" descr="unice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 Imagen" descr="unicef_logo.jpg"/>
                    <pic:cNvPicPr>
                      <a:picLocks noChangeAspect="1" noChangeArrowheads="1"/>
                    </pic:cNvPicPr>
                  </pic:nvPicPr>
                  <pic:blipFill>
                    <a:blip r:embed="rId12" cstate="print"/>
                    <a:srcRect l="11176" r="10165"/>
                    <a:stretch>
                      <a:fillRect/>
                    </a:stretch>
                  </pic:blipFill>
                  <pic:spPr bwMode="auto">
                    <a:xfrm>
                      <a:off x="0" y="0"/>
                      <a:ext cx="814705" cy="760730"/>
                    </a:xfrm>
                    <a:prstGeom prst="rect">
                      <a:avLst/>
                    </a:prstGeom>
                    <a:noFill/>
                    <a:ln w="9525">
                      <a:noFill/>
                      <a:miter lim="800000"/>
                      <a:headEnd/>
                      <a:tailEnd/>
                    </a:ln>
                  </pic:spPr>
                </pic:pic>
              </a:graphicData>
            </a:graphic>
          </wp:inline>
        </w:drawing>
      </w:r>
      <w:r>
        <w:rPr>
          <w:noProof/>
          <w:lang w:val="en-US"/>
        </w:rPr>
        <w:drawing>
          <wp:inline distT="0" distB="0" distL="0" distR="0">
            <wp:extent cx="829945" cy="760730"/>
            <wp:effectExtent l="19050" t="0" r="8255" b="0"/>
            <wp:docPr id="13" name="175 Imagen" descr="Acn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 Imagen" descr="Acnur_logo.jpg"/>
                    <pic:cNvPicPr>
                      <a:picLocks noChangeAspect="1" noChangeArrowheads="1"/>
                    </pic:cNvPicPr>
                  </pic:nvPicPr>
                  <pic:blipFill>
                    <a:blip r:embed="rId13" cstate="print"/>
                    <a:srcRect/>
                    <a:stretch>
                      <a:fillRect/>
                    </a:stretch>
                  </pic:blipFill>
                  <pic:spPr bwMode="auto">
                    <a:xfrm>
                      <a:off x="0" y="0"/>
                      <a:ext cx="829945" cy="760730"/>
                    </a:xfrm>
                    <a:prstGeom prst="rect">
                      <a:avLst/>
                    </a:prstGeom>
                    <a:noFill/>
                    <a:ln w="9525">
                      <a:noFill/>
                      <a:miter lim="800000"/>
                      <a:headEnd/>
                      <a:tailEnd/>
                    </a:ln>
                  </pic:spPr>
                </pic:pic>
              </a:graphicData>
            </a:graphic>
          </wp:inline>
        </w:drawing>
      </w:r>
      <w:r>
        <w:rPr>
          <w:noProof/>
          <w:lang w:val="en-US"/>
        </w:rPr>
        <w:drawing>
          <wp:inline distT="0" distB="0" distL="0" distR="0">
            <wp:extent cx="875665" cy="760730"/>
            <wp:effectExtent l="0" t="0" r="635" b="0"/>
            <wp:docPr id="14" name="178 Imagen" descr="logo_oit trans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 Imagen" descr="logo_oit transparente.gif"/>
                    <pic:cNvPicPr>
                      <a:picLocks noChangeAspect="1" noChangeArrowheads="1"/>
                    </pic:cNvPicPr>
                  </pic:nvPicPr>
                  <pic:blipFill>
                    <a:blip r:embed="rId14" cstate="print"/>
                    <a:srcRect/>
                    <a:stretch>
                      <a:fillRect/>
                    </a:stretch>
                  </pic:blipFill>
                  <pic:spPr bwMode="auto">
                    <a:xfrm>
                      <a:off x="0" y="0"/>
                      <a:ext cx="875665" cy="760730"/>
                    </a:xfrm>
                    <a:prstGeom prst="rect">
                      <a:avLst/>
                    </a:prstGeom>
                    <a:noFill/>
                    <a:ln w="9525">
                      <a:noFill/>
                      <a:miter lim="800000"/>
                      <a:headEnd/>
                      <a:tailEnd/>
                    </a:ln>
                  </pic:spPr>
                </pic:pic>
              </a:graphicData>
            </a:graphic>
          </wp:inline>
        </w:drawing>
      </w:r>
    </w:p>
    <w:p w:rsidR="003207DA" w:rsidRDefault="003207DA" w:rsidP="00A87A88">
      <w:pPr>
        <w:spacing w:after="0" w:line="240" w:lineRule="auto"/>
        <w:jc w:val="both"/>
        <w:rPr>
          <w:rFonts w:cs="Calibri"/>
          <w:i/>
          <w:lang w:val="es-ES_tradnl"/>
        </w:rPr>
      </w:pPr>
    </w:p>
    <w:p w:rsidR="006E3CAA" w:rsidRDefault="00897B68" w:rsidP="00AD13D3">
      <w:pPr>
        <w:jc w:val="both"/>
        <w:rPr>
          <w:rFonts w:cs="Calibri"/>
          <w:color w:val="000000"/>
          <w:lang w:val="es-ES_tradnl"/>
        </w:rPr>
      </w:pPr>
      <w:r w:rsidRPr="0054454B">
        <w:rPr>
          <w:rFonts w:cs="Calibri"/>
          <w:color w:val="000000"/>
          <w:lang w:val="es-ES_tradnl"/>
        </w:rPr>
        <w:lastRenderedPageBreak/>
        <w:t xml:space="preserve">Durante el 2009 la OIM </w:t>
      </w:r>
      <w:r w:rsidR="00920A70" w:rsidRPr="0054454B">
        <w:rPr>
          <w:rFonts w:cs="Calibri"/>
          <w:color w:val="000000"/>
          <w:lang w:val="es-ES_tradnl"/>
        </w:rPr>
        <w:t>realizó</w:t>
      </w:r>
      <w:r w:rsidRPr="0054454B">
        <w:rPr>
          <w:rFonts w:cs="Calibri"/>
          <w:color w:val="000000"/>
          <w:lang w:val="es-ES_tradnl"/>
        </w:rPr>
        <w:t xml:space="preserve"> los estudios nacionales que fueron luego presentados  en el 2010 a las contrapartes clave por </w:t>
      </w:r>
      <w:r w:rsidR="003831F5" w:rsidRPr="0054454B">
        <w:rPr>
          <w:rFonts w:cs="Calibri"/>
          <w:color w:val="000000"/>
          <w:lang w:val="es-ES_tradnl"/>
        </w:rPr>
        <w:t>país</w:t>
      </w:r>
      <w:r w:rsidRPr="0054454B">
        <w:rPr>
          <w:rFonts w:cs="Calibri"/>
          <w:color w:val="000000"/>
          <w:lang w:val="es-ES_tradnl"/>
        </w:rPr>
        <w:t xml:space="preserve">.  </w:t>
      </w:r>
      <w:r w:rsidR="00CA3834" w:rsidRPr="0054454B">
        <w:rPr>
          <w:rFonts w:cs="Calibri"/>
          <w:color w:val="000000"/>
          <w:lang w:val="es-ES_tradnl"/>
        </w:rPr>
        <w:t>Este esfuerzo brindó una</w:t>
      </w:r>
      <w:r w:rsidR="00920A70" w:rsidRPr="0054454B">
        <w:rPr>
          <w:rFonts w:cs="Calibri"/>
          <w:color w:val="000000"/>
          <w:lang w:val="es-ES_tradnl"/>
        </w:rPr>
        <w:t xml:space="preserve"> oportunidad  no solo para validar la información recopilada sino para </w:t>
      </w:r>
      <w:r w:rsidR="00CA3834" w:rsidRPr="0054454B">
        <w:rPr>
          <w:rFonts w:cs="Calibri"/>
          <w:color w:val="000000"/>
          <w:lang w:val="es-ES_tradnl"/>
        </w:rPr>
        <w:t xml:space="preserve">promover </w:t>
      </w:r>
      <w:r w:rsidR="00920A70" w:rsidRPr="0054454B">
        <w:rPr>
          <w:rFonts w:cs="Calibri"/>
          <w:color w:val="000000"/>
          <w:lang w:val="es-ES_tradnl"/>
        </w:rPr>
        <w:t>una plataforma de dialogo inter-institucional sobre el tema</w:t>
      </w:r>
      <w:r w:rsidR="00CA3834" w:rsidRPr="0054454B">
        <w:rPr>
          <w:rFonts w:cs="Calibri"/>
          <w:color w:val="000000"/>
          <w:lang w:val="es-ES_tradnl"/>
        </w:rPr>
        <w:t>.</w:t>
      </w:r>
      <w:r w:rsidR="00920A70" w:rsidRPr="0054454B">
        <w:rPr>
          <w:rFonts w:cs="Calibri"/>
          <w:color w:val="000000"/>
          <w:lang w:val="es-ES_tradnl"/>
        </w:rPr>
        <w:t xml:space="preserve"> </w:t>
      </w:r>
    </w:p>
    <w:p w:rsidR="00000602" w:rsidRPr="0054454B" w:rsidRDefault="007D35C6" w:rsidP="00AD13D3">
      <w:pPr>
        <w:jc w:val="both"/>
        <w:rPr>
          <w:rFonts w:cs="Calibri"/>
          <w:color w:val="000000"/>
          <w:lang w:val="es-ES_tradnl"/>
        </w:rPr>
      </w:pPr>
      <w:r w:rsidRPr="0054454B">
        <w:rPr>
          <w:rFonts w:cs="Calibri"/>
          <w:color w:val="000000"/>
          <w:lang w:val="es-ES_tradnl"/>
        </w:rPr>
        <w:t xml:space="preserve">Por su parte, </w:t>
      </w:r>
      <w:r w:rsidR="00FB1300" w:rsidRPr="0054454B">
        <w:rPr>
          <w:rFonts w:cs="Calibri"/>
          <w:color w:val="000000"/>
          <w:lang w:val="es-ES_tradnl"/>
        </w:rPr>
        <w:t xml:space="preserve">el Programa </w:t>
      </w:r>
      <w:r w:rsidR="00000602" w:rsidRPr="0054454B">
        <w:rPr>
          <w:rFonts w:cs="Calibri"/>
          <w:color w:val="000000"/>
          <w:lang w:val="es-ES_tradnl"/>
        </w:rPr>
        <w:t xml:space="preserve">Internacional </w:t>
      </w:r>
      <w:r w:rsidR="00FB1300" w:rsidRPr="0054454B">
        <w:rPr>
          <w:rFonts w:cs="Calibri"/>
          <w:color w:val="000000"/>
          <w:lang w:val="es-ES_tradnl"/>
        </w:rPr>
        <w:t xml:space="preserve">para la Erradicación del Trabajo Infantil (IPEC) de </w:t>
      </w:r>
      <w:r w:rsidRPr="0054454B">
        <w:rPr>
          <w:rFonts w:cs="Calibri"/>
          <w:color w:val="000000"/>
          <w:lang w:val="es-ES_tradnl"/>
        </w:rPr>
        <w:t xml:space="preserve">la Organización Internacional del Trabajo </w:t>
      </w:r>
      <w:r w:rsidR="00FB1300" w:rsidRPr="0054454B">
        <w:rPr>
          <w:rFonts w:cs="Calibri"/>
          <w:color w:val="000000"/>
          <w:lang w:val="es-ES_tradnl"/>
        </w:rPr>
        <w:t>(OIT)</w:t>
      </w:r>
      <w:r w:rsidR="000E0CE3">
        <w:rPr>
          <w:rFonts w:cs="Calibri"/>
          <w:color w:val="000000"/>
          <w:lang w:val="es-ES_tradnl"/>
        </w:rPr>
        <w:t>,</w:t>
      </w:r>
      <w:r w:rsidR="00FB1300" w:rsidRPr="0054454B">
        <w:rPr>
          <w:rFonts w:cs="Calibri"/>
          <w:color w:val="000000"/>
          <w:lang w:val="es-ES_tradnl"/>
        </w:rPr>
        <w:t xml:space="preserve"> </w:t>
      </w:r>
      <w:r w:rsidRPr="0054454B">
        <w:rPr>
          <w:rFonts w:cs="Calibri"/>
          <w:color w:val="000000"/>
          <w:lang w:val="es-ES_tradnl"/>
        </w:rPr>
        <w:t>en conjunto con UNICEF</w:t>
      </w:r>
      <w:r w:rsidR="000E0CE3">
        <w:rPr>
          <w:rFonts w:cs="Calibri"/>
          <w:color w:val="000000"/>
          <w:lang w:val="es-ES_tradnl"/>
        </w:rPr>
        <w:t>,</w:t>
      </w:r>
      <w:r w:rsidRPr="0054454B">
        <w:rPr>
          <w:rFonts w:cs="Calibri"/>
          <w:color w:val="000000"/>
          <w:lang w:val="es-ES_tradnl"/>
        </w:rPr>
        <w:t xml:space="preserve"> emprend</w:t>
      </w:r>
      <w:r w:rsidR="00000602" w:rsidRPr="0054454B">
        <w:rPr>
          <w:rFonts w:cs="Calibri"/>
          <w:color w:val="000000"/>
          <w:lang w:val="es-ES_tradnl"/>
        </w:rPr>
        <w:t>ió</w:t>
      </w:r>
      <w:r w:rsidRPr="0054454B">
        <w:rPr>
          <w:rFonts w:cs="Calibri"/>
          <w:color w:val="000000"/>
          <w:lang w:val="es-ES_tradnl"/>
        </w:rPr>
        <w:t xml:space="preserve"> </w:t>
      </w:r>
      <w:r w:rsidR="00000602" w:rsidRPr="0054454B">
        <w:rPr>
          <w:rFonts w:cs="Calibri"/>
          <w:color w:val="000000"/>
          <w:lang w:val="es-ES_tradnl"/>
        </w:rPr>
        <w:t>un</w:t>
      </w:r>
      <w:r w:rsidRPr="0054454B">
        <w:rPr>
          <w:rFonts w:cs="Calibri"/>
          <w:color w:val="000000"/>
          <w:lang w:val="es-ES_tradnl"/>
        </w:rPr>
        <w:t xml:space="preserve"> Estudio sobre Relaciones entre el Fenómeno de la Migración y el Trabajo I</w:t>
      </w:r>
      <w:r w:rsidR="00FB1300" w:rsidRPr="0054454B">
        <w:rPr>
          <w:rFonts w:cs="Calibri"/>
          <w:color w:val="000000"/>
          <w:lang w:val="es-ES_tradnl"/>
        </w:rPr>
        <w:t xml:space="preserve">nfantil en </w:t>
      </w:r>
      <w:r w:rsidR="00000602" w:rsidRPr="0054454B">
        <w:rPr>
          <w:rFonts w:cs="Calibri"/>
          <w:color w:val="000000"/>
          <w:lang w:val="es-ES_tradnl"/>
        </w:rPr>
        <w:t xml:space="preserve">seis países de </w:t>
      </w:r>
      <w:r w:rsidR="00FB1300" w:rsidRPr="0054454B">
        <w:rPr>
          <w:rFonts w:cs="Calibri"/>
          <w:color w:val="000000"/>
          <w:lang w:val="es-ES_tradnl"/>
        </w:rPr>
        <w:t>Centroamérica y Panamá en  el año 2010</w:t>
      </w:r>
      <w:r w:rsidRPr="0054454B">
        <w:rPr>
          <w:rFonts w:cs="Calibri"/>
          <w:color w:val="000000"/>
          <w:lang w:val="es-ES_tradnl"/>
        </w:rPr>
        <w:t xml:space="preserve">. </w:t>
      </w:r>
      <w:r w:rsidR="00BD2EC0" w:rsidRPr="0054454B">
        <w:rPr>
          <w:rFonts w:cs="Calibri"/>
          <w:color w:val="000000"/>
          <w:lang w:val="es-ES_tradnl"/>
        </w:rPr>
        <w:t xml:space="preserve"> </w:t>
      </w:r>
      <w:r w:rsidR="00000602" w:rsidRPr="0054454B">
        <w:rPr>
          <w:rFonts w:cs="Calibri"/>
          <w:color w:val="000000"/>
          <w:lang w:val="es-ES_tradnl"/>
        </w:rPr>
        <w:t>El estudio tenía como objetivo contribuir a la prevención y erradicación del trabajo infantil asociado al fenómeno de la migración y la garantía de los derechos y la protección de las personas adolescentes trabajadoras, a través del establecimiento de canales migratorios seguros y con supervisión Estatal.  Los resultados de los estudios brindan a los países:</w:t>
      </w:r>
      <w:r w:rsidR="00AD13D3" w:rsidRPr="0054454B">
        <w:rPr>
          <w:rFonts w:cs="Calibri"/>
          <w:color w:val="000000"/>
          <w:lang w:val="es-ES_tradnl"/>
        </w:rPr>
        <w:t xml:space="preserve"> 1. </w:t>
      </w:r>
      <w:r w:rsidR="00000602" w:rsidRPr="0054454B">
        <w:rPr>
          <w:rFonts w:cs="Calibri"/>
          <w:color w:val="000000"/>
          <w:lang w:val="es-ES_tradnl"/>
        </w:rPr>
        <w:t>Una caracterización por país de los niños y niñas trabajadores migrantes que orienta en el diseño de políticas preventivas y de abordaje del trabajo infantil</w:t>
      </w:r>
      <w:r w:rsidR="00AD13D3" w:rsidRPr="0054454B">
        <w:rPr>
          <w:rFonts w:cs="Calibri"/>
          <w:color w:val="000000"/>
          <w:lang w:val="es-ES_tradnl"/>
        </w:rPr>
        <w:t xml:space="preserve">; 2. </w:t>
      </w:r>
      <w:r w:rsidR="00000602" w:rsidRPr="0054454B">
        <w:rPr>
          <w:rFonts w:cs="Calibri"/>
          <w:color w:val="000000"/>
          <w:lang w:val="es-ES_tradnl"/>
        </w:rPr>
        <w:t xml:space="preserve">Recomendaciones dirigidas a la </w:t>
      </w:r>
      <w:smartTag w:uri="urn:schemas-microsoft-com:office:smarttags" w:element="stockticker">
        <w:r w:rsidR="00000602" w:rsidRPr="0054454B">
          <w:rPr>
            <w:rFonts w:cs="Calibri"/>
            <w:color w:val="000000"/>
            <w:lang w:val="es-ES_tradnl"/>
          </w:rPr>
          <w:t>CRM</w:t>
        </w:r>
      </w:smartTag>
      <w:r w:rsidR="00000602" w:rsidRPr="0054454B">
        <w:rPr>
          <w:rFonts w:cs="Calibri"/>
          <w:color w:val="000000"/>
          <w:lang w:val="es-ES_tradnl"/>
        </w:rPr>
        <w:t xml:space="preserve"> y otras entidades nacionales y subregionales competentes en materia migratoria para prevenir el trabajo infantil de la población migrante </w:t>
      </w:r>
      <w:r w:rsidR="00B22D8E" w:rsidRPr="0054454B">
        <w:rPr>
          <w:rFonts w:cs="Calibri"/>
          <w:color w:val="000000"/>
          <w:lang w:val="es-ES_tradnl"/>
        </w:rPr>
        <w:t xml:space="preserve">y </w:t>
      </w:r>
      <w:r w:rsidR="00000602" w:rsidRPr="0054454B">
        <w:rPr>
          <w:rFonts w:cs="Calibri"/>
          <w:color w:val="000000"/>
          <w:lang w:val="es-ES_tradnl"/>
        </w:rPr>
        <w:t>proteger a la persona adolescente trabajadora migrante</w:t>
      </w:r>
      <w:r w:rsidR="00AD13D3" w:rsidRPr="0054454B">
        <w:rPr>
          <w:rFonts w:cs="Calibri"/>
          <w:color w:val="000000"/>
          <w:lang w:val="es-ES_tradnl"/>
        </w:rPr>
        <w:t xml:space="preserve">; 3. </w:t>
      </w:r>
      <w:r w:rsidR="00000602" w:rsidRPr="0054454B">
        <w:rPr>
          <w:rFonts w:cs="Calibri"/>
          <w:color w:val="000000"/>
          <w:lang w:val="es-ES_tradnl"/>
        </w:rPr>
        <w:t>Recomendaciones dirigidas a las entidades nacionales encargadas de la administración del trabajo, para establecer mecanismos de prevención del trabajo infantil asociado al fenómeno migratorio</w:t>
      </w:r>
      <w:r w:rsidR="00AD13D3" w:rsidRPr="0054454B">
        <w:rPr>
          <w:rFonts w:cs="Calibri"/>
          <w:color w:val="000000"/>
          <w:lang w:val="es-ES_tradnl"/>
        </w:rPr>
        <w:t xml:space="preserve">; 4. </w:t>
      </w:r>
      <w:r w:rsidR="00000602" w:rsidRPr="0054454B">
        <w:rPr>
          <w:rFonts w:cs="Calibri"/>
          <w:color w:val="000000"/>
          <w:lang w:val="es-ES_tradnl"/>
        </w:rPr>
        <w:t>Orientaciones, dirigidas a las instituciones de protección, que permitan abordar integralmente a la población menor de edad trabajadora, asociada al fenómeno de la migración transfronteriza.</w:t>
      </w:r>
    </w:p>
    <w:p w:rsidR="00056938" w:rsidRPr="0054454B" w:rsidRDefault="002F2011" w:rsidP="00000602">
      <w:pPr>
        <w:jc w:val="both"/>
        <w:rPr>
          <w:rFonts w:cs="Calibri"/>
          <w:color w:val="000000"/>
          <w:lang w:val="es-ES_tradnl"/>
        </w:rPr>
      </w:pPr>
      <w:r w:rsidRPr="0054454B">
        <w:rPr>
          <w:rFonts w:cs="Calibri"/>
          <w:color w:val="000000"/>
          <w:lang w:val="es-ES_tradnl"/>
        </w:rPr>
        <w:t xml:space="preserve">Para dar seguimiento </w:t>
      </w:r>
      <w:r w:rsidR="00056938" w:rsidRPr="0054454B">
        <w:rPr>
          <w:rFonts w:cs="Calibri"/>
          <w:color w:val="000000"/>
          <w:lang w:val="es-ES_tradnl"/>
        </w:rPr>
        <w:t>al tema</w:t>
      </w:r>
      <w:r w:rsidRPr="0054454B">
        <w:rPr>
          <w:rFonts w:cs="Calibri"/>
          <w:color w:val="000000"/>
          <w:lang w:val="es-ES_tradnl"/>
        </w:rPr>
        <w:t xml:space="preserve"> en el marco de la </w:t>
      </w:r>
      <w:smartTag w:uri="urn:schemas-microsoft-com:office:smarttags" w:element="stockticker">
        <w:r w:rsidRPr="0054454B">
          <w:rPr>
            <w:rFonts w:cs="Calibri"/>
            <w:color w:val="000000"/>
            <w:lang w:val="es-ES_tradnl"/>
          </w:rPr>
          <w:t>CRM</w:t>
        </w:r>
      </w:smartTag>
      <w:r w:rsidRPr="0054454B">
        <w:rPr>
          <w:rFonts w:cs="Calibri"/>
          <w:color w:val="000000"/>
          <w:lang w:val="es-ES_tradnl"/>
        </w:rPr>
        <w:t xml:space="preserve">, durante la </w:t>
      </w:r>
      <w:r w:rsidR="007D35C6" w:rsidRPr="0054454B">
        <w:rPr>
          <w:rFonts w:cs="Calibri"/>
          <w:color w:val="000000"/>
          <w:lang w:val="es-ES_tradnl"/>
        </w:rPr>
        <w:t>más</w:t>
      </w:r>
      <w:r w:rsidRPr="0054454B">
        <w:rPr>
          <w:rFonts w:cs="Calibri"/>
          <w:color w:val="000000"/>
          <w:lang w:val="es-ES_tradnl"/>
        </w:rPr>
        <w:t xml:space="preserve"> reciente reunión </w:t>
      </w:r>
      <w:r w:rsidR="006011E2">
        <w:rPr>
          <w:rFonts w:cs="Calibri"/>
          <w:color w:val="000000"/>
          <w:lang w:val="es-ES_tradnl"/>
        </w:rPr>
        <w:t xml:space="preserve">Viceministerial, </w:t>
      </w:r>
      <w:r w:rsidRPr="0054454B">
        <w:rPr>
          <w:rFonts w:cs="Calibri"/>
          <w:color w:val="000000"/>
          <w:lang w:val="es-ES_tradnl"/>
        </w:rPr>
        <w:t xml:space="preserve">realizado en </w:t>
      </w:r>
      <w:r w:rsidR="006011E2">
        <w:rPr>
          <w:rFonts w:cs="Calibri"/>
          <w:color w:val="000000"/>
          <w:lang w:val="es-ES_tradnl"/>
        </w:rPr>
        <w:t xml:space="preserve">La Romana, </w:t>
      </w:r>
      <w:r w:rsidRPr="0054454B">
        <w:rPr>
          <w:rFonts w:cs="Calibri"/>
          <w:color w:val="000000"/>
          <w:lang w:val="es-ES_tradnl"/>
        </w:rPr>
        <w:t xml:space="preserve">Republica Dominicana en junio de 2011, </w:t>
      </w:r>
      <w:r w:rsidR="006011E2">
        <w:rPr>
          <w:rFonts w:cs="Calibri"/>
          <w:color w:val="000000"/>
          <w:lang w:val="es-ES_tradnl"/>
        </w:rPr>
        <w:t>los Viceministros deciden</w:t>
      </w:r>
      <w:r w:rsidR="00056938" w:rsidRPr="0054454B">
        <w:rPr>
          <w:rFonts w:cs="Calibri"/>
          <w:color w:val="000000"/>
          <w:lang w:val="es-ES_tradnl"/>
        </w:rPr>
        <w:t xml:space="preserve"> aprobar la iniciativa de la OIM de realizar un </w:t>
      </w:r>
      <w:r w:rsidR="00396856" w:rsidRPr="0054454B">
        <w:rPr>
          <w:rFonts w:cs="Calibri"/>
          <w:color w:val="000000"/>
          <w:lang w:val="es-ES_tradnl"/>
        </w:rPr>
        <w:t>“</w:t>
      </w:r>
      <w:r w:rsidR="000E0CE3" w:rsidRPr="000E0CE3">
        <w:rPr>
          <w:rFonts w:cs="Arial"/>
          <w:lang w:val="es-ES_tradnl"/>
        </w:rPr>
        <w:t>F</w:t>
      </w:r>
      <w:r w:rsidR="007D35C6" w:rsidRPr="0054454B">
        <w:rPr>
          <w:rFonts w:cs="Calibri"/>
          <w:color w:val="000000"/>
          <w:lang w:val="es-ES_tradnl"/>
        </w:rPr>
        <w:t xml:space="preserve">oro regional sobre políticas basado en los estudios realizados por ACNUR, OIM y UNICEF, entre otros, sobre niños, niñas y adolescentes migrantes no acompañados, con la colaboración de organismos internacionales </w:t>
      </w:r>
      <w:r w:rsidR="005D20D0" w:rsidRPr="0054454B">
        <w:rPr>
          <w:rFonts w:cs="Calibri"/>
          <w:color w:val="000000"/>
          <w:lang w:val="es-ES_tradnl"/>
        </w:rPr>
        <w:t>interesado</w:t>
      </w:r>
      <w:r w:rsidR="00396856" w:rsidRPr="0054454B">
        <w:rPr>
          <w:rFonts w:cs="Calibri"/>
          <w:color w:val="000000"/>
          <w:lang w:val="es-ES_tradnl"/>
        </w:rPr>
        <w:t>s”</w:t>
      </w:r>
      <w:r w:rsidR="007D35C6" w:rsidRPr="0054454B">
        <w:rPr>
          <w:rFonts w:cs="Calibri"/>
          <w:color w:val="000000"/>
          <w:lang w:val="es-ES_tradnl"/>
        </w:rPr>
        <w:t>.</w:t>
      </w:r>
      <w:r w:rsidR="006011E2">
        <w:rPr>
          <w:rFonts w:cs="Calibri"/>
          <w:color w:val="000000"/>
          <w:lang w:val="es-ES_tradnl"/>
        </w:rPr>
        <w:t xml:space="preserve"> (Decisión # 11)</w:t>
      </w:r>
    </w:p>
    <w:p w:rsidR="009663F1" w:rsidRPr="0054454B" w:rsidRDefault="00BB7EA7" w:rsidP="009663F1">
      <w:pPr>
        <w:jc w:val="both"/>
        <w:rPr>
          <w:lang w:val="es-ES_tradnl"/>
        </w:rPr>
      </w:pPr>
      <w:r w:rsidRPr="0054454B">
        <w:rPr>
          <w:rFonts w:cs="Calibri"/>
          <w:color w:val="000000"/>
          <w:lang w:val="es-ES_tradnl"/>
        </w:rPr>
        <w:t xml:space="preserve">En atención a ello, y tomando como antecedentes las investigaciones realizadas por </w:t>
      </w:r>
      <w:r w:rsidR="00056938" w:rsidRPr="0054454B">
        <w:rPr>
          <w:rFonts w:cs="Calibri"/>
          <w:color w:val="000000"/>
          <w:lang w:val="es-ES_tradnl"/>
        </w:rPr>
        <w:t xml:space="preserve">las diferentes agencias, se propone entonces realizar un taller técnico que permita </w:t>
      </w:r>
      <w:r w:rsidR="009663F1" w:rsidRPr="0054454B">
        <w:rPr>
          <w:rFonts w:cs="Calibri"/>
          <w:color w:val="000000"/>
          <w:lang w:val="es-ES_tradnl"/>
        </w:rPr>
        <w:t xml:space="preserve">analizar </w:t>
      </w:r>
      <w:r w:rsidR="00BD2EC0" w:rsidRPr="0054454B">
        <w:rPr>
          <w:rFonts w:cs="Calibri"/>
          <w:color w:val="000000"/>
          <w:lang w:val="es-ES_tradnl"/>
        </w:rPr>
        <w:t xml:space="preserve">y buscar soluciones </w:t>
      </w:r>
      <w:r w:rsidR="005A6395" w:rsidRPr="0054454B">
        <w:rPr>
          <w:rFonts w:cs="Calibri"/>
          <w:color w:val="000000"/>
          <w:lang w:val="es-ES_tradnl"/>
        </w:rPr>
        <w:t xml:space="preserve">a </w:t>
      </w:r>
      <w:r w:rsidR="009663F1" w:rsidRPr="0054454B">
        <w:rPr>
          <w:rFonts w:cs="Calibri"/>
          <w:color w:val="000000"/>
          <w:lang w:val="es-ES_tradnl"/>
        </w:rPr>
        <w:t xml:space="preserve">los nudos estratégicos </w:t>
      </w:r>
      <w:r w:rsidR="00AD13D3" w:rsidRPr="0054454B">
        <w:rPr>
          <w:rFonts w:cs="Calibri"/>
          <w:color w:val="000000"/>
          <w:lang w:val="es-ES_tradnl"/>
        </w:rPr>
        <w:t xml:space="preserve">prioritarios </w:t>
      </w:r>
      <w:r w:rsidR="005A6395" w:rsidRPr="0054454B">
        <w:rPr>
          <w:rFonts w:cs="Calibri"/>
          <w:color w:val="000000"/>
          <w:lang w:val="es-ES_tradnl"/>
        </w:rPr>
        <w:t>identificados</w:t>
      </w:r>
      <w:r w:rsidR="009663F1" w:rsidRPr="0054454B">
        <w:rPr>
          <w:rFonts w:cs="Calibri"/>
          <w:color w:val="000000"/>
          <w:lang w:val="es-ES_tradnl"/>
        </w:rPr>
        <w:t xml:space="preserve"> que obstaculizan </w:t>
      </w:r>
      <w:r w:rsidR="009663F1" w:rsidRPr="0054454B">
        <w:rPr>
          <w:lang w:val="es-ES_tradnl"/>
        </w:rPr>
        <w:t xml:space="preserve">una respuesta efectiva </w:t>
      </w:r>
      <w:r w:rsidR="005A6395" w:rsidRPr="0054454B">
        <w:rPr>
          <w:rFonts w:cs="Calibri"/>
          <w:color w:val="000000"/>
          <w:lang w:val="es-ES_tradnl"/>
        </w:rPr>
        <w:t>desde la</w:t>
      </w:r>
      <w:r w:rsidR="00D506E8" w:rsidRPr="0054454B">
        <w:rPr>
          <w:rFonts w:cs="Calibri"/>
          <w:color w:val="000000"/>
          <w:lang w:val="es-ES_tradnl"/>
        </w:rPr>
        <w:t>s instituciones en consideración de la</w:t>
      </w:r>
      <w:r w:rsidR="005A6395" w:rsidRPr="0054454B">
        <w:rPr>
          <w:rFonts w:cs="Calibri"/>
          <w:color w:val="000000"/>
          <w:lang w:val="es-ES_tradnl"/>
        </w:rPr>
        <w:t xml:space="preserve"> política pública </w:t>
      </w:r>
      <w:r w:rsidR="009663F1" w:rsidRPr="0054454B">
        <w:rPr>
          <w:lang w:val="es-ES_tradnl"/>
        </w:rPr>
        <w:t xml:space="preserve">para la protección de </w:t>
      </w:r>
      <w:r w:rsidR="00396856" w:rsidRPr="0054454B">
        <w:rPr>
          <w:lang w:val="es-ES_tradnl"/>
        </w:rPr>
        <w:t xml:space="preserve">niños, niñas y adolescentes </w:t>
      </w:r>
      <w:r w:rsidR="009663F1" w:rsidRPr="0054454B">
        <w:rPr>
          <w:lang w:val="es-ES_tradnl"/>
        </w:rPr>
        <w:t>migrantes</w:t>
      </w:r>
      <w:r w:rsidR="008E0BA5">
        <w:rPr>
          <w:lang w:val="es-ES_tradnl"/>
        </w:rPr>
        <w:t xml:space="preserve"> y refugiados</w:t>
      </w:r>
      <w:r w:rsidR="00EC77FB">
        <w:rPr>
          <w:lang w:val="es-ES_tradnl"/>
        </w:rPr>
        <w:t>, incluso los niños, niñas trabajadores.</w:t>
      </w:r>
    </w:p>
    <w:p w:rsidR="009663F1" w:rsidRPr="0054454B" w:rsidRDefault="009663F1" w:rsidP="00BD2EC0">
      <w:pPr>
        <w:rPr>
          <w:b/>
          <w:lang w:val="es-ES_tradnl"/>
        </w:rPr>
      </w:pPr>
      <w:r w:rsidRPr="0054454B">
        <w:rPr>
          <w:b/>
          <w:lang w:val="es-ES_tradnl"/>
        </w:rPr>
        <w:t>Objetivos del taller</w:t>
      </w:r>
    </w:p>
    <w:p w:rsidR="009663F1" w:rsidRPr="0054454B" w:rsidRDefault="009663F1" w:rsidP="009663F1">
      <w:pPr>
        <w:rPr>
          <w:lang w:val="es-ES_tradnl"/>
        </w:rPr>
      </w:pPr>
      <w:r w:rsidRPr="0054454B">
        <w:rPr>
          <w:lang w:val="es-ES_tradnl"/>
        </w:rPr>
        <w:t>1. Presentar y analizar los mecanismos existentes y los nudos estratégicos en el sistema de protección de niñez y adolescencia migrante en tres ejes: competencias institucion</w:t>
      </w:r>
      <w:r w:rsidR="00BD2EC0" w:rsidRPr="0054454B">
        <w:rPr>
          <w:lang w:val="es-ES_tradnl"/>
        </w:rPr>
        <w:t>ales</w:t>
      </w:r>
      <w:r w:rsidRPr="0054454B">
        <w:rPr>
          <w:lang w:val="es-ES_tradnl"/>
        </w:rPr>
        <w:t xml:space="preserve">, coordinación inter-institucional y marco </w:t>
      </w:r>
      <w:r w:rsidR="00BD2EC0" w:rsidRPr="0054454B">
        <w:rPr>
          <w:lang w:val="es-ES_tradnl"/>
        </w:rPr>
        <w:t>normativo</w:t>
      </w:r>
      <w:r w:rsidRPr="0054454B">
        <w:rPr>
          <w:lang w:val="es-ES_tradnl"/>
        </w:rPr>
        <w:t xml:space="preserve">. </w:t>
      </w:r>
    </w:p>
    <w:p w:rsidR="009663F1" w:rsidRPr="0054454B" w:rsidRDefault="009663F1" w:rsidP="009663F1">
      <w:pPr>
        <w:rPr>
          <w:lang w:val="es-ES_tradnl"/>
        </w:rPr>
      </w:pPr>
      <w:r w:rsidRPr="0054454B">
        <w:rPr>
          <w:lang w:val="es-ES_tradnl"/>
        </w:rPr>
        <w:t>2. Compartir buenas prácticas a nivel nacional</w:t>
      </w:r>
      <w:r w:rsidR="000165E7" w:rsidRPr="0054454B">
        <w:rPr>
          <w:lang w:val="es-ES_tradnl"/>
        </w:rPr>
        <w:t xml:space="preserve">, </w:t>
      </w:r>
      <w:r w:rsidR="00396856" w:rsidRPr="0054454B">
        <w:rPr>
          <w:lang w:val="es-ES_tradnl"/>
        </w:rPr>
        <w:t xml:space="preserve"> binacionales/regionales </w:t>
      </w:r>
      <w:r w:rsidRPr="0054454B">
        <w:rPr>
          <w:lang w:val="es-ES_tradnl"/>
        </w:rPr>
        <w:t xml:space="preserve">que puedan ser replicadas en diferentes contextos nacionales. </w:t>
      </w:r>
    </w:p>
    <w:p w:rsidR="009663F1" w:rsidRPr="0054454B" w:rsidRDefault="009663F1" w:rsidP="00BD2EC0">
      <w:pPr>
        <w:rPr>
          <w:lang w:val="es-ES_tradnl"/>
        </w:rPr>
      </w:pPr>
      <w:r w:rsidRPr="0054454B">
        <w:rPr>
          <w:lang w:val="es-ES_tradnl"/>
        </w:rPr>
        <w:t xml:space="preserve">3. Analizar viabilidad de las recomendaciones </w:t>
      </w:r>
      <w:r w:rsidR="00396856" w:rsidRPr="0054454B">
        <w:rPr>
          <w:lang w:val="es-ES_tradnl"/>
        </w:rPr>
        <w:t xml:space="preserve">generadas por los estudios </w:t>
      </w:r>
      <w:r w:rsidRPr="0054454B">
        <w:rPr>
          <w:lang w:val="es-ES_tradnl"/>
        </w:rPr>
        <w:t xml:space="preserve">y generar </w:t>
      </w:r>
      <w:r w:rsidR="002763A3" w:rsidRPr="0054454B">
        <w:rPr>
          <w:lang w:val="es-ES_tradnl"/>
        </w:rPr>
        <w:t xml:space="preserve">propuestas de </w:t>
      </w:r>
      <w:r w:rsidR="0054454B">
        <w:rPr>
          <w:lang w:val="es-ES_tradnl"/>
        </w:rPr>
        <w:t>implementación</w:t>
      </w:r>
      <w:r w:rsidR="002763A3" w:rsidRPr="0054454B">
        <w:rPr>
          <w:lang w:val="es-ES_tradnl"/>
        </w:rPr>
        <w:t xml:space="preserve"> </w:t>
      </w:r>
      <w:r w:rsidRPr="0054454B">
        <w:rPr>
          <w:lang w:val="es-ES_tradnl"/>
        </w:rPr>
        <w:t>a nivel nacional y regional.</w:t>
      </w:r>
    </w:p>
    <w:p w:rsidR="008E4BA9" w:rsidRPr="0054454B" w:rsidRDefault="00D15358" w:rsidP="00172B91">
      <w:pPr>
        <w:rPr>
          <w:b/>
          <w:lang w:val="es-ES_tradnl"/>
        </w:rPr>
      </w:pPr>
      <w:r w:rsidRPr="0054454B">
        <w:rPr>
          <w:b/>
          <w:lang w:val="es-ES_tradnl"/>
        </w:rPr>
        <w:t>Resultados</w:t>
      </w:r>
      <w:r w:rsidR="009663F1" w:rsidRPr="0054454B">
        <w:rPr>
          <w:b/>
          <w:lang w:val="es-ES_tradnl"/>
        </w:rPr>
        <w:t xml:space="preserve"> esperados</w:t>
      </w:r>
    </w:p>
    <w:p w:rsidR="00172B91" w:rsidRPr="0054454B" w:rsidRDefault="00172B91" w:rsidP="00172B91">
      <w:pPr>
        <w:rPr>
          <w:lang w:val="es-ES_tradnl"/>
        </w:rPr>
      </w:pPr>
      <w:r w:rsidRPr="0054454B">
        <w:rPr>
          <w:lang w:val="es-ES_tradnl"/>
        </w:rPr>
        <w:t xml:space="preserve">1. </w:t>
      </w:r>
      <w:r w:rsidR="00D976CD" w:rsidRPr="0054454B">
        <w:rPr>
          <w:lang w:val="es-ES_tradnl"/>
        </w:rPr>
        <w:t>Los</w:t>
      </w:r>
      <w:r w:rsidRPr="0054454B">
        <w:rPr>
          <w:lang w:val="es-ES_tradnl"/>
        </w:rPr>
        <w:t xml:space="preserve"> nudos estratégicos</w:t>
      </w:r>
      <w:r w:rsidR="00D976CD" w:rsidRPr="0054454B">
        <w:rPr>
          <w:lang w:val="es-ES_tradnl"/>
        </w:rPr>
        <w:t xml:space="preserve"> y </w:t>
      </w:r>
      <w:r w:rsidRPr="0054454B">
        <w:rPr>
          <w:lang w:val="es-ES_tradnl"/>
        </w:rPr>
        <w:t xml:space="preserve">limitantes prioritarios </w:t>
      </w:r>
      <w:r w:rsidR="00D976CD" w:rsidRPr="0054454B">
        <w:rPr>
          <w:lang w:val="es-ES_tradnl"/>
        </w:rPr>
        <w:t xml:space="preserve">identificados </w:t>
      </w:r>
      <w:r w:rsidRPr="0054454B">
        <w:rPr>
          <w:lang w:val="es-ES_tradnl"/>
        </w:rPr>
        <w:t xml:space="preserve">y </w:t>
      </w:r>
      <w:r w:rsidR="00D976CD" w:rsidRPr="0054454B">
        <w:rPr>
          <w:lang w:val="es-ES_tradnl"/>
        </w:rPr>
        <w:t xml:space="preserve">respuestas para </w:t>
      </w:r>
      <w:r w:rsidRPr="0054454B">
        <w:rPr>
          <w:lang w:val="es-ES_tradnl"/>
        </w:rPr>
        <w:t>solucionarl</w:t>
      </w:r>
      <w:r w:rsidR="00D976CD" w:rsidRPr="0054454B">
        <w:rPr>
          <w:lang w:val="es-ES_tradnl"/>
        </w:rPr>
        <w:t>a</w:t>
      </w:r>
      <w:r w:rsidRPr="0054454B">
        <w:rPr>
          <w:lang w:val="es-ES_tradnl"/>
        </w:rPr>
        <w:t>s</w:t>
      </w:r>
      <w:r w:rsidR="00D976CD" w:rsidRPr="0054454B">
        <w:rPr>
          <w:lang w:val="es-ES_tradnl"/>
        </w:rPr>
        <w:t xml:space="preserve"> validadas</w:t>
      </w:r>
      <w:r w:rsidR="003003A7" w:rsidRPr="0054454B">
        <w:rPr>
          <w:lang w:val="es-ES_tradnl"/>
        </w:rPr>
        <w:t>.</w:t>
      </w:r>
    </w:p>
    <w:p w:rsidR="00172B91" w:rsidRPr="0054454B" w:rsidRDefault="00172B91" w:rsidP="00172B91">
      <w:pPr>
        <w:rPr>
          <w:lang w:val="es-ES_tradnl"/>
        </w:rPr>
      </w:pPr>
      <w:r w:rsidRPr="0054454B">
        <w:rPr>
          <w:lang w:val="es-ES_tradnl"/>
        </w:rPr>
        <w:lastRenderedPageBreak/>
        <w:t xml:space="preserve">2. Levantamiento de </w:t>
      </w:r>
      <w:r w:rsidR="00307515" w:rsidRPr="0054454B">
        <w:rPr>
          <w:lang w:val="es-ES_tradnl"/>
        </w:rPr>
        <w:t>buenas</w:t>
      </w:r>
      <w:r w:rsidRPr="0054454B">
        <w:rPr>
          <w:lang w:val="es-ES_tradnl"/>
        </w:rPr>
        <w:t xml:space="preserve"> </w:t>
      </w:r>
      <w:r w:rsidR="008D7787" w:rsidRPr="0054454B">
        <w:rPr>
          <w:lang w:val="es-ES_tradnl"/>
        </w:rPr>
        <w:t>prácticas</w:t>
      </w:r>
      <w:r w:rsidR="00D976CD" w:rsidRPr="0054454B">
        <w:rPr>
          <w:lang w:val="es-ES_tradnl"/>
        </w:rPr>
        <w:t xml:space="preserve"> para que sirvan de modelo para otros países</w:t>
      </w:r>
      <w:r w:rsidR="003003A7" w:rsidRPr="0054454B">
        <w:rPr>
          <w:lang w:val="es-ES_tradnl"/>
        </w:rPr>
        <w:t>.</w:t>
      </w:r>
    </w:p>
    <w:p w:rsidR="009663F1" w:rsidRPr="0054454B" w:rsidRDefault="00172B91" w:rsidP="00172B91">
      <w:pPr>
        <w:rPr>
          <w:lang w:val="es-ES_tradnl"/>
        </w:rPr>
      </w:pPr>
      <w:r w:rsidRPr="0054454B">
        <w:rPr>
          <w:lang w:val="es-ES_tradnl"/>
        </w:rPr>
        <w:t xml:space="preserve">3. </w:t>
      </w:r>
      <w:r w:rsidR="00D976CD" w:rsidRPr="0054454B">
        <w:rPr>
          <w:lang w:val="es-ES_tradnl"/>
        </w:rPr>
        <w:t>R</w:t>
      </w:r>
      <w:r w:rsidRPr="0054454B">
        <w:rPr>
          <w:lang w:val="es-ES_tradnl"/>
        </w:rPr>
        <w:t xml:space="preserve">ecomendaciones </w:t>
      </w:r>
      <w:r w:rsidR="005A6395" w:rsidRPr="0054454B">
        <w:rPr>
          <w:lang w:val="es-ES_tradnl"/>
        </w:rPr>
        <w:t xml:space="preserve">generadas por los estudios </w:t>
      </w:r>
      <w:r w:rsidRPr="0054454B">
        <w:rPr>
          <w:lang w:val="es-ES_tradnl"/>
        </w:rPr>
        <w:t xml:space="preserve">por país </w:t>
      </w:r>
      <w:r w:rsidR="00D976CD" w:rsidRPr="0054454B">
        <w:rPr>
          <w:lang w:val="es-ES_tradnl"/>
        </w:rPr>
        <w:t xml:space="preserve">y a nivel subregional </w:t>
      </w:r>
      <w:proofErr w:type="spellStart"/>
      <w:r w:rsidR="00D976CD" w:rsidRPr="0054454B">
        <w:rPr>
          <w:lang w:val="es-ES_tradnl"/>
        </w:rPr>
        <w:t>operacionalizadas</w:t>
      </w:r>
      <w:proofErr w:type="spellEnd"/>
      <w:r w:rsidR="00D15358" w:rsidRPr="0054454B">
        <w:rPr>
          <w:lang w:val="es-ES_tradnl"/>
        </w:rPr>
        <w:t xml:space="preserve"> que</w:t>
      </w:r>
      <w:r w:rsidRPr="0054454B">
        <w:rPr>
          <w:lang w:val="es-ES_tradnl"/>
        </w:rPr>
        <w:t xml:space="preserve"> </w:t>
      </w:r>
      <w:r w:rsidR="008D7787" w:rsidRPr="0054454B">
        <w:rPr>
          <w:lang w:val="es-ES_tradnl"/>
        </w:rPr>
        <w:t>pe</w:t>
      </w:r>
      <w:r w:rsidR="00D15358" w:rsidRPr="0054454B">
        <w:rPr>
          <w:lang w:val="es-ES_tradnl"/>
        </w:rPr>
        <w:t>rmita</w:t>
      </w:r>
      <w:r w:rsidR="008D7787" w:rsidRPr="0054454B">
        <w:rPr>
          <w:lang w:val="es-ES_tradnl"/>
        </w:rPr>
        <w:t xml:space="preserve"> </w:t>
      </w:r>
      <w:r w:rsidR="005A6395" w:rsidRPr="0054454B">
        <w:rPr>
          <w:lang w:val="es-ES_tradnl"/>
        </w:rPr>
        <w:t xml:space="preserve">a la vez </w:t>
      </w:r>
      <w:r w:rsidR="000165E7" w:rsidRPr="0054454B">
        <w:rPr>
          <w:lang w:val="es-ES_tradnl"/>
        </w:rPr>
        <w:t>que las agencias internacionales coordinen su apoyo técnico o financiero.</w:t>
      </w:r>
    </w:p>
    <w:p w:rsidR="008E4BA9" w:rsidRPr="0054454B" w:rsidRDefault="00D737C6" w:rsidP="00172B91">
      <w:pPr>
        <w:rPr>
          <w:b/>
          <w:lang w:val="es-ES_tradnl"/>
        </w:rPr>
      </w:pPr>
      <w:r w:rsidRPr="0054454B">
        <w:rPr>
          <w:b/>
          <w:lang w:val="es-ES_tradnl"/>
        </w:rPr>
        <w:t xml:space="preserve">Descripción del taller </w:t>
      </w:r>
    </w:p>
    <w:p w:rsidR="00172B91" w:rsidRPr="0054454B" w:rsidRDefault="00BD2EC0" w:rsidP="00172B91">
      <w:pPr>
        <w:rPr>
          <w:lang w:val="es-ES_tradnl"/>
        </w:rPr>
      </w:pPr>
      <w:r w:rsidRPr="0054454B">
        <w:rPr>
          <w:lang w:val="es-ES_tradnl"/>
        </w:rPr>
        <w:t>Para avanzar en estos objetivos, la discusión se organizar</w:t>
      </w:r>
      <w:r w:rsidR="00D976CD" w:rsidRPr="0054454B">
        <w:rPr>
          <w:lang w:val="es-ES_tradnl"/>
        </w:rPr>
        <w:t>á</w:t>
      </w:r>
      <w:r w:rsidRPr="0054454B">
        <w:rPr>
          <w:lang w:val="es-ES_tradnl"/>
        </w:rPr>
        <w:t xml:space="preserve"> d</w:t>
      </w:r>
      <w:r w:rsidR="00D737C6" w:rsidRPr="0054454B">
        <w:rPr>
          <w:lang w:val="es-ES_tradnl"/>
        </w:rPr>
        <w:t xml:space="preserve">e acuerdo a las diferentes </w:t>
      </w:r>
      <w:r w:rsidR="006B1077" w:rsidRPr="0054454B">
        <w:rPr>
          <w:lang w:val="es-ES_tradnl"/>
        </w:rPr>
        <w:t>áreas</w:t>
      </w:r>
      <w:r w:rsidRPr="0054454B">
        <w:rPr>
          <w:lang w:val="es-ES_tradnl"/>
        </w:rPr>
        <w:t xml:space="preserve"> de intervención</w:t>
      </w:r>
      <w:r w:rsidR="006B1077" w:rsidRPr="0054454B">
        <w:rPr>
          <w:lang w:val="es-ES_tradnl"/>
        </w:rPr>
        <w:t xml:space="preserve"> y considerando lo</w:t>
      </w:r>
      <w:r w:rsidR="00D737C6" w:rsidRPr="0054454B">
        <w:rPr>
          <w:lang w:val="es-ES_tradnl"/>
        </w:rPr>
        <w:t xml:space="preserve">s diferentes </w:t>
      </w:r>
      <w:r w:rsidR="006B1077" w:rsidRPr="0054454B">
        <w:rPr>
          <w:lang w:val="es-ES_tradnl"/>
        </w:rPr>
        <w:t>momentos</w:t>
      </w:r>
      <w:r w:rsidR="00D737C6" w:rsidRPr="0054454B">
        <w:rPr>
          <w:lang w:val="es-ES_tradnl"/>
        </w:rPr>
        <w:t xml:space="preserve"> en las cuales los NNA se relacionan con la</w:t>
      </w:r>
      <w:r w:rsidR="006B1077" w:rsidRPr="0054454B">
        <w:rPr>
          <w:lang w:val="es-ES_tradnl"/>
        </w:rPr>
        <w:t xml:space="preserve"> migración, a saber: </w:t>
      </w:r>
      <w:r w:rsidR="00172B91" w:rsidRPr="0054454B">
        <w:rPr>
          <w:lang w:val="es-ES_tradnl"/>
        </w:rPr>
        <w:t xml:space="preserve">NNA que se quedan, NNA en ruta migratoria, NNA en zonas transfronterizas, NNA en </w:t>
      </w:r>
      <w:r w:rsidR="008D7787" w:rsidRPr="0054454B">
        <w:rPr>
          <w:lang w:val="es-ES_tradnl"/>
        </w:rPr>
        <w:t>país</w:t>
      </w:r>
      <w:r w:rsidR="006B1077" w:rsidRPr="0054454B">
        <w:rPr>
          <w:lang w:val="es-ES_tradnl"/>
        </w:rPr>
        <w:t xml:space="preserve"> de destino</w:t>
      </w:r>
      <w:r w:rsidR="00172B91" w:rsidRPr="0054454B">
        <w:rPr>
          <w:lang w:val="es-ES_tradnl"/>
        </w:rPr>
        <w:t xml:space="preserve">. Los temas de trabajo infantil, </w:t>
      </w:r>
      <w:r w:rsidR="009014C6">
        <w:rPr>
          <w:lang w:val="es-ES_tradnl"/>
        </w:rPr>
        <w:t xml:space="preserve">pueblos indígenas, </w:t>
      </w:r>
      <w:proofErr w:type="spellStart"/>
      <w:r w:rsidR="009014C6">
        <w:rPr>
          <w:lang w:val="es-ES_tradnl"/>
        </w:rPr>
        <w:t>afrodescendientes</w:t>
      </w:r>
      <w:proofErr w:type="spellEnd"/>
      <w:r w:rsidR="00172B91" w:rsidRPr="0054454B">
        <w:rPr>
          <w:lang w:val="es-ES_tradnl"/>
        </w:rPr>
        <w:t xml:space="preserve">, trata </w:t>
      </w:r>
      <w:r w:rsidR="00904191">
        <w:rPr>
          <w:lang w:val="es-ES_tradnl"/>
        </w:rPr>
        <w:t xml:space="preserve">de personas, NNA refugiados y solicitantes de asilo </w:t>
      </w:r>
      <w:r w:rsidR="00172B91" w:rsidRPr="0054454B">
        <w:rPr>
          <w:lang w:val="es-ES_tradnl"/>
        </w:rPr>
        <w:t xml:space="preserve">y otros </w:t>
      </w:r>
      <w:r w:rsidR="000165E7" w:rsidRPr="0054454B">
        <w:rPr>
          <w:lang w:val="es-ES_tradnl"/>
        </w:rPr>
        <w:t xml:space="preserve">a definir </w:t>
      </w:r>
      <w:r w:rsidR="00172B91" w:rsidRPr="0054454B">
        <w:rPr>
          <w:lang w:val="es-ES_tradnl"/>
        </w:rPr>
        <w:t>ser</w:t>
      </w:r>
      <w:r w:rsidR="00D506E8" w:rsidRPr="0054454B">
        <w:rPr>
          <w:lang w:val="es-ES_tradnl"/>
        </w:rPr>
        <w:t>í</w:t>
      </w:r>
      <w:r w:rsidR="00172B91" w:rsidRPr="0054454B">
        <w:rPr>
          <w:lang w:val="es-ES_tradnl"/>
        </w:rPr>
        <w:t xml:space="preserve">an temas transversales a estas áreas de intervención. </w:t>
      </w:r>
    </w:p>
    <w:p w:rsidR="000E0CE3" w:rsidRDefault="00172B91" w:rsidP="00172B91">
      <w:pPr>
        <w:rPr>
          <w:lang w:val="es-ES_tradnl"/>
        </w:rPr>
      </w:pPr>
      <w:r w:rsidRPr="0054454B">
        <w:rPr>
          <w:lang w:val="es-ES_tradnl"/>
        </w:rPr>
        <w:t xml:space="preserve">I.                   </w:t>
      </w:r>
      <w:r w:rsidRPr="0054454B">
        <w:rPr>
          <w:u w:val="single"/>
          <w:lang w:val="es-ES_tradnl"/>
        </w:rPr>
        <w:t>Ident</w:t>
      </w:r>
      <w:r w:rsidR="006B1077" w:rsidRPr="0054454B">
        <w:rPr>
          <w:u w:val="single"/>
          <w:lang w:val="es-ES_tradnl"/>
        </w:rPr>
        <w:t>ificación y documentación:</w:t>
      </w:r>
      <w:r w:rsidR="006B1077" w:rsidRPr="0054454B">
        <w:rPr>
          <w:lang w:val="es-ES_tradnl"/>
        </w:rPr>
        <w:t xml:space="preserve"> Incluye</w:t>
      </w:r>
      <w:r w:rsidRPr="0054454B">
        <w:rPr>
          <w:lang w:val="es-ES_tradnl"/>
        </w:rPr>
        <w:t xml:space="preserve"> identificación y registro</w:t>
      </w:r>
      <w:r w:rsidR="00CE30A1" w:rsidRPr="0054454B">
        <w:rPr>
          <w:lang w:val="es-ES_tradnl"/>
        </w:rPr>
        <w:t xml:space="preserve">, </w:t>
      </w:r>
      <w:r w:rsidRPr="0054454B">
        <w:rPr>
          <w:lang w:val="es-ES_tradnl"/>
        </w:rPr>
        <w:t xml:space="preserve"> </w:t>
      </w:r>
      <w:r w:rsidR="000165E7" w:rsidRPr="0054454B">
        <w:rPr>
          <w:lang w:val="es-ES_tradnl"/>
        </w:rPr>
        <w:t xml:space="preserve">en frontera </w:t>
      </w:r>
      <w:r w:rsidR="00D506E8" w:rsidRPr="0054454B">
        <w:rPr>
          <w:lang w:val="es-ES_tradnl"/>
        </w:rPr>
        <w:t>u</w:t>
      </w:r>
      <w:r w:rsidR="000165E7" w:rsidRPr="0054454B">
        <w:rPr>
          <w:lang w:val="es-ES_tradnl"/>
        </w:rPr>
        <w:t xml:space="preserve"> </w:t>
      </w:r>
      <w:r w:rsidR="00CE30A1" w:rsidRPr="0054454B">
        <w:rPr>
          <w:lang w:val="es-ES_tradnl"/>
        </w:rPr>
        <w:t xml:space="preserve">otros espacios donde NNA sean detectados,  </w:t>
      </w:r>
      <w:r w:rsidRPr="0054454B">
        <w:rPr>
          <w:lang w:val="es-ES_tradnl"/>
        </w:rPr>
        <w:t xml:space="preserve">para </w:t>
      </w:r>
      <w:r w:rsidR="006279F1" w:rsidRPr="0054454B">
        <w:rPr>
          <w:lang w:val="es-ES_tradnl"/>
        </w:rPr>
        <w:t xml:space="preserve">iniciar </w:t>
      </w:r>
      <w:r w:rsidRPr="0054454B">
        <w:rPr>
          <w:lang w:val="es-ES_tradnl"/>
        </w:rPr>
        <w:t>la atención individual</w:t>
      </w:r>
      <w:r w:rsidR="006279F1" w:rsidRPr="0054454B">
        <w:rPr>
          <w:lang w:val="es-ES_tradnl"/>
        </w:rPr>
        <w:t xml:space="preserve"> </w:t>
      </w:r>
      <w:r w:rsidRPr="0054454B">
        <w:rPr>
          <w:lang w:val="es-ES_tradnl"/>
        </w:rPr>
        <w:t>y para la generación de datos estadísticos</w:t>
      </w:r>
      <w:r w:rsidR="009014C6">
        <w:rPr>
          <w:lang w:val="es-ES_tradnl"/>
        </w:rPr>
        <w:t xml:space="preserve"> desagregados (género, etario, étnico)</w:t>
      </w:r>
      <w:r w:rsidRPr="0054454B">
        <w:rPr>
          <w:lang w:val="es-ES_tradnl"/>
        </w:rPr>
        <w:t>.</w:t>
      </w:r>
      <w:r w:rsidR="00B34243" w:rsidRPr="0054454B">
        <w:rPr>
          <w:lang w:val="es-ES_tradnl"/>
        </w:rPr>
        <w:t xml:space="preserve"> Esta gran área se refiere a cómo hacer efectiva y rápido el ejercicio del derecho de todos los NNA de tener una identidad y una nacionalidad</w:t>
      </w:r>
      <w:r w:rsidR="00966588" w:rsidRPr="0054454B">
        <w:rPr>
          <w:lang w:val="es-ES_tradnl"/>
        </w:rPr>
        <w:t>, definiendo</w:t>
      </w:r>
      <w:r w:rsidR="006279F1" w:rsidRPr="0054454B">
        <w:rPr>
          <w:lang w:val="es-ES_tradnl"/>
        </w:rPr>
        <w:t xml:space="preserve"> el tipo de </w:t>
      </w:r>
      <w:r w:rsidR="0054454B" w:rsidRPr="0054454B">
        <w:rPr>
          <w:lang w:val="es-ES_tradnl"/>
        </w:rPr>
        <w:t>protección</w:t>
      </w:r>
      <w:r w:rsidR="006279F1" w:rsidRPr="0054454B">
        <w:rPr>
          <w:lang w:val="es-ES_tradnl"/>
        </w:rPr>
        <w:t xml:space="preserve"> a ofrecer (</w:t>
      </w:r>
      <w:r w:rsidR="0054454B" w:rsidRPr="0054454B">
        <w:rPr>
          <w:lang w:val="es-ES_tradnl"/>
        </w:rPr>
        <w:t>protección</w:t>
      </w:r>
      <w:r w:rsidR="006279F1" w:rsidRPr="0054454B">
        <w:rPr>
          <w:lang w:val="es-ES_tradnl"/>
        </w:rPr>
        <w:t xml:space="preserve"> consular o </w:t>
      </w:r>
      <w:r w:rsidR="006030BB">
        <w:rPr>
          <w:lang w:val="es-ES_tradnl"/>
        </w:rPr>
        <w:t>el reconocimiento de la condición de refugiado</w:t>
      </w:r>
      <w:r w:rsidR="006279F1" w:rsidRPr="0054454B">
        <w:rPr>
          <w:lang w:val="es-ES_tradnl"/>
        </w:rPr>
        <w:t xml:space="preserve">). </w:t>
      </w:r>
    </w:p>
    <w:p w:rsidR="00172B91" w:rsidRPr="0054454B" w:rsidRDefault="00172B91" w:rsidP="00172B91">
      <w:pPr>
        <w:rPr>
          <w:lang w:val="es-ES_tradnl"/>
        </w:rPr>
      </w:pPr>
      <w:r w:rsidRPr="0054454B">
        <w:rPr>
          <w:lang w:val="es-ES_tradnl"/>
        </w:rPr>
        <w:t xml:space="preserve">II.              </w:t>
      </w:r>
      <w:r w:rsidR="0065051D">
        <w:rPr>
          <w:u w:val="single"/>
          <w:lang w:val="es-ES_tradnl"/>
        </w:rPr>
        <w:t>Asistencia</w:t>
      </w:r>
      <w:r w:rsidRPr="0054454B">
        <w:rPr>
          <w:u w:val="single"/>
          <w:lang w:val="es-ES_tradnl"/>
        </w:rPr>
        <w:t>:</w:t>
      </w:r>
      <w:r w:rsidRPr="0054454B">
        <w:rPr>
          <w:lang w:val="es-ES_tradnl"/>
        </w:rPr>
        <w:t xml:space="preserve"> sistema de albergue, </w:t>
      </w:r>
      <w:r w:rsidR="0065051D">
        <w:rPr>
          <w:lang w:val="es-ES_tradnl"/>
        </w:rPr>
        <w:t xml:space="preserve">atención a necesidades básicas de alimento, salud, </w:t>
      </w:r>
      <w:r w:rsidR="008C206A">
        <w:rPr>
          <w:lang w:val="es-ES_tradnl"/>
        </w:rPr>
        <w:t>educación  y apoyo psicosocial,  incluyendo el retiro de trabajos peligrosos u otras peores formas de trabajo infantil de las cuales los NNA pueden ser víctimas</w:t>
      </w:r>
    </w:p>
    <w:p w:rsidR="00172B91" w:rsidRPr="0054454B" w:rsidRDefault="00172B91" w:rsidP="00172B91">
      <w:pPr>
        <w:rPr>
          <w:lang w:val="es-ES_tradnl"/>
        </w:rPr>
      </w:pPr>
      <w:smartTag w:uri="urn:schemas-microsoft-com:office:smarttags" w:element="stockticker">
        <w:r w:rsidRPr="0054454B">
          <w:rPr>
            <w:lang w:val="es-ES_tradnl"/>
          </w:rPr>
          <w:t>III</w:t>
        </w:r>
      </w:smartTag>
      <w:r w:rsidRPr="0054454B">
        <w:rPr>
          <w:lang w:val="es-ES_tradnl"/>
        </w:rPr>
        <w:t xml:space="preserve">.             </w:t>
      </w:r>
      <w:r w:rsidR="0065051D">
        <w:rPr>
          <w:u w:val="single"/>
          <w:lang w:val="es-ES_tradnl"/>
        </w:rPr>
        <w:t>Protección</w:t>
      </w:r>
      <w:r w:rsidRPr="0054454B">
        <w:rPr>
          <w:u w:val="single"/>
          <w:lang w:val="es-ES_tradnl"/>
        </w:rPr>
        <w:t>:</w:t>
      </w:r>
      <w:r w:rsidRPr="0054454B">
        <w:rPr>
          <w:lang w:val="es-ES_tradnl"/>
        </w:rPr>
        <w:t xml:space="preserve"> </w:t>
      </w:r>
      <w:r w:rsidR="0065051D">
        <w:rPr>
          <w:lang w:val="es-ES_tradnl"/>
        </w:rPr>
        <w:t xml:space="preserve">determinación de la condición migratoria o estatuto de refugiado, </w:t>
      </w:r>
      <w:r w:rsidRPr="0054454B">
        <w:rPr>
          <w:lang w:val="es-ES_tradnl"/>
        </w:rPr>
        <w:t>determinación del interés</w:t>
      </w:r>
      <w:r w:rsidR="00E9521C">
        <w:rPr>
          <w:lang w:val="es-ES_tradnl"/>
        </w:rPr>
        <w:t xml:space="preserve"> superior</w:t>
      </w:r>
      <w:r w:rsidR="005E2344" w:rsidRPr="0054454B">
        <w:rPr>
          <w:lang w:val="es-ES_tradnl"/>
        </w:rPr>
        <w:t>,</w:t>
      </w:r>
      <w:r w:rsidR="00EA0372" w:rsidRPr="0054454B">
        <w:rPr>
          <w:lang w:val="es-ES_tradnl"/>
        </w:rPr>
        <w:t xml:space="preserve"> incluyendo </w:t>
      </w:r>
      <w:r w:rsidR="005E2344" w:rsidRPr="0054454B">
        <w:rPr>
          <w:lang w:val="es-ES_tradnl"/>
        </w:rPr>
        <w:t>análisis</w:t>
      </w:r>
      <w:r w:rsidR="00EA0372" w:rsidRPr="0054454B">
        <w:rPr>
          <w:lang w:val="es-ES_tradnl"/>
        </w:rPr>
        <w:t xml:space="preserve"> de la unidad familiar</w:t>
      </w:r>
      <w:r w:rsidR="009014C6">
        <w:rPr>
          <w:lang w:val="es-ES_tradnl"/>
        </w:rPr>
        <w:t xml:space="preserve"> con enfoque inter-cultural</w:t>
      </w:r>
      <w:r w:rsidR="005E2344" w:rsidRPr="0054454B">
        <w:rPr>
          <w:lang w:val="es-ES_tradnl"/>
        </w:rPr>
        <w:t>;</w:t>
      </w:r>
      <w:r w:rsidRPr="0054454B">
        <w:rPr>
          <w:lang w:val="es-ES_tradnl"/>
        </w:rPr>
        <w:t xml:space="preserve"> </w:t>
      </w:r>
      <w:r w:rsidR="00423D2A" w:rsidRPr="0054454B">
        <w:rPr>
          <w:lang w:val="es-ES_tradnl"/>
        </w:rPr>
        <w:t>búsqueda de familiares  de niñez y adolescencia no acompañada</w:t>
      </w:r>
      <w:r w:rsidR="005E2344" w:rsidRPr="0054454B">
        <w:rPr>
          <w:lang w:val="es-ES_tradnl"/>
        </w:rPr>
        <w:t>;</w:t>
      </w:r>
      <w:r w:rsidR="00EA0372" w:rsidRPr="0054454B">
        <w:rPr>
          <w:lang w:val="es-ES_tradnl"/>
        </w:rPr>
        <w:t xml:space="preserve"> </w:t>
      </w:r>
      <w:r w:rsidRPr="0054454B">
        <w:rPr>
          <w:lang w:val="es-ES_tradnl"/>
        </w:rPr>
        <w:t>represen</w:t>
      </w:r>
      <w:r w:rsidR="005E2344" w:rsidRPr="0054454B">
        <w:rPr>
          <w:lang w:val="es-ES_tradnl"/>
        </w:rPr>
        <w:t>tación o custodia legal del NNA</w:t>
      </w:r>
      <w:r w:rsidR="0065051D">
        <w:rPr>
          <w:lang w:val="es-ES_tradnl"/>
        </w:rPr>
        <w:t xml:space="preserve"> (tutoría).</w:t>
      </w:r>
      <w:r w:rsidR="00307515" w:rsidRPr="0054454B">
        <w:rPr>
          <w:lang w:val="es-ES_tradnl"/>
        </w:rPr>
        <w:t xml:space="preserve"> Este debate aplica también para NNA que viajan con sus familias de manera temporal o permanente.</w:t>
      </w:r>
    </w:p>
    <w:p w:rsidR="00172B91" w:rsidRPr="0054454B" w:rsidRDefault="00172B91" w:rsidP="00172B91">
      <w:pPr>
        <w:rPr>
          <w:lang w:val="es-ES_tradnl"/>
        </w:rPr>
      </w:pPr>
      <w:r w:rsidRPr="0054454B">
        <w:rPr>
          <w:lang w:val="es-ES_tradnl"/>
        </w:rPr>
        <w:t xml:space="preserve">IV.             </w:t>
      </w:r>
      <w:r w:rsidRPr="0054454B">
        <w:rPr>
          <w:u w:val="single"/>
          <w:lang w:val="es-ES_tradnl"/>
        </w:rPr>
        <w:t>Retorno y reintegración:</w:t>
      </w:r>
      <w:r w:rsidRPr="0054454B">
        <w:rPr>
          <w:lang w:val="es-ES_tradnl"/>
        </w:rPr>
        <w:t xml:space="preserve"> Para esta área de intervención es donde </w:t>
      </w:r>
      <w:r w:rsidR="004928E4" w:rsidRPr="0054454B">
        <w:rPr>
          <w:lang w:val="es-ES_tradnl"/>
        </w:rPr>
        <w:t>más</w:t>
      </w:r>
      <w:r w:rsidRPr="0054454B">
        <w:rPr>
          <w:lang w:val="es-ES_tradnl"/>
        </w:rPr>
        <w:t xml:space="preserve"> se ha avanzado en la CRM</w:t>
      </w:r>
      <w:r w:rsidR="000E0CE3">
        <w:rPr>
          <w:lang w:val="es-ES_tradnl"/>
        </w:rPr>
        <w:t>,</w:t>
      </w:r>
      <w:r w:rsidRPr="0054454B">
        <w:rPr>
          <w:lang w:val="es-ES_tradnl"/>
        </w:rPr>
        <w:t xml:space="preserve"> sin embargo habría que hacer una breve evaluación de implementación de instrumentos generados en este foro.</w:t>
      </w:r>
      <w:r w:rsidR="00307515" w:rsidRPr="0054454B">
        <w:rPr>
          <w:lang w:val="es-ES_tradnl"/>
        </w:rPr>
        <w:t xml:space="preserve"> Este debate aplica también para NNA que viajan con sus familias de manera temporal o permanente.</w:t>
      </w:r>
    </w:p>
    <w:p w:rsidR="00172B91" w:rsidRPr="0054454B" w:rsidRDefault="00172B91" w:rsidP="00172B91">
      <w:pPr>
        <w:rPr>
          <w:lang w:val="es-ES_tradnl"/>
        </w:rPr>
      </w:pPr>
      <w:r w:rsidRPr="0054454B">
        <w:rPr>
          <w:lang w:val="es-ES_tradnl"/>
        </w:rPr>
        <w:t xml:space="preserve">V.                </w:t>
      </w:r>
      <w:r w:rsidRPr="0054454B">
        <w:rPr>
          <w:u w:val="single"/>
          <w:lang w:val="es-ES_tradnl"/>
        </w:rPr>
        <w:t>Integración local:</w:t>
      </w:r>
      <w:r w:rsidRPr="0054454B">
        <w:rPr>
          <w:lang w:val="es-ES_tradnl"/>
        </w:rPr>
        <w:t xml:space="preserve"> </w:t>
      </w:r>
      <w:r w:rsidR="00093099" w:rsidRPr="0054454B">
        <w:rPr>
          <w:lang w:val="es-ES_tradnl"/>
        </w:rPr>
        <w:t>regularización</w:t>
      </w:r>
      <w:r w:rsidRPr="0054454B">
        <w:rPr>
          <w:lang w:val="es-ES_tradnl"/>
        </w:rPr>
        <w:t xml:space="preserve"> migratoria, qui</w:t>
      </w:r>
      <w:r w:rsidR="00904191">
        <w:rPr>
          <w:lang w:val="es-ES_tradnl"/>
        </w:rPr>
        <w:t>é</w:t>
      </w:r>
      <w:r w:rsidRPr="0054454B">
        <w:rPr>
          <w:lang w:val="es-ES_tradnl"/>
        </w:rPr>
        <w:t xml:space="preserve">n </w:t>
      </w:r>
      <w:r w:rsidR="00C3581F" w:rsidRPr="0054454B">
        <w:rPr>
          <w:lang w:val="es-ES_tradnl"/>
        </w:rPr>
        <w:t>continúa</w:t>
      </w:r>
      <w:r w:rsidR="000E0CE3">
        <w:rPr>
          <w:lang w:val="es-ES_tradnl"/>
        </w:rPr>
        <w:t xml:space="preserve"> dando el cuidado</w:t>
      </w:r>
      <w:r w:rsidRPr="0054454B">
        <w:rPr>
          <w:lang w:val="es-ES_tradnl"/>
        </w:rPr>
        <w:t xml:space="preserve">, acceso a salud, educación, </w:t>
      </w:r>
      <w:r w:rsidR="00BE3F5C" w:rsidRPr="0054454B">
        <w:rPr>
          <w:lang w:val="es-ES_tradnl"/>
        </w:rPr>
        <w:t>vivienda. etc.</w:t>
      </w:r>
      <w:r w:rsidR="00307515" w:rsidRPr="0054454B">
        <w:rPr>
          <w:lang w:val="es-ES_tradnl"/>
        </w:rPr>
        <w:t xml:space="preserve"> Este debate aplica también para NNA que viajan con sus familias de manera temporal o permanente.</w:t>
      </w:r>
    </w:p>
    <w:p w:rsidR="00172B91" w:rsidRPr="0054454B" w:rsidRDefault="00BE3F5C" w:rsidP="00172B91">
      <w:pPr>
        <w:rPr>
          <w:b/>
          <w:lang w:val="es-ES_tradnl"/>
        </w:rPr>
      </w:pPr>
      <w:r w:rsidRPr="0054454B">
        <w:rPr>
          <w:b/>
          <w:lang w:val="es-ES_tradnl"/>
        </w:rPr>
        <w:t>Participantes</w:t>
      </w:r>
    </w:p>
    <w:p w:rsidR="001B5C49" w:rsidRDefault="00172B91" w:rsidP="00172B91">
      <w:pPr>
        <w:rPr>
          <w:lang w:val="es-ES_tradnl"/>
        </w:rPr>
      </w:pPr>
      <w:r w:rsidRPr="0054454B">
        <w:rPr>
          <w:lang w:val="es-ES_tradnl"/>
        </w:rPr>
        <w:t xml:space="preserve">Delegados de alto nivel </w:t>
      </w:r>
      <w:r w:rsidR="004928E4" w:rsidRPr="0054454B">
        <w:rPr>
          <w:lang w:val="es-ES_tradnl"/>
        </w:rPr>
        <w:t>técnico</w:t>
      </w:r>
      <w:r w:rsidR="005D3C66">
        <w:rPr>
          <w:lang w:val="es-ES_tradnl"/>
        </w:rPr>
        <w:t>/político</w:t>
      </w:r>
      <w:r w:rsidR="004928E4" w:rsidRPr="0054454B">
        <w:rPr>
          <w:lang w:val="es-ES_tradnl"/>
        </w:rPr>
        <w:t xml:space="preserve"> </w:t>
      </w:r>
      <w:r w:rsidRPr="0054454B">
        <w:rPr>
          <w:lang w:val="es-ES_tradnl"/>
        </w:rPr>
        <w:t>y con conocimiento del tema</w:t>
      </w:r>
      <w:r w:rsidR="000E0CE3">
        <w:rPr>
          <w:lang w:val="es-ES_tradnl"/>
        </w:rPr>
        <w:t>,</w:t>
      </w:r>
      <w:r w:rsidRPr="0054454B">
        <w:rPr>
          <w:lang w:val="es-ES_tradnl"/>
        </w:rPr>
        <w:t xml:space="preserve"> así como de las competencias y responsabilidades de la institución o agencia que representan: institutos de protección de la </w:t>
      </w:r>
      <w:r w:rsidR="000E0CE3">
        <w:rPr>
          <w:lang w:val="es-ES_tradnl"/>
        </w:rPr>
        <w:t>niñez</w:t>
      </w:r>
      <w:r w:rsidR="0092300D" w:rsidRPr="0054454B">
        <w:rPr>
          <w:lang w:val="es-ES_tradnl"/>
        </w:rPr>
        <w:t>/familia</w:t>
      </w:r>
      <w:r w:rsidRPr="0054454B">
        <w:rPr>
          <w:lang w:val="es-ES_tradnl"/>
        </w:rPr>
        <w:t xml:space="preserve">, direcciones generales de migración, representantes de la dirección consular de las cancillerías, ministerios de trabajo, ONG que trabajen en tema migratorio y </w:t>
      </w:r>
      <w:proofErr w:type="spellStart"/>
      <w:r w:rsidRPr="0054454B">
        <w:rPr>
          <w:lang w:val="es-ES_tradnl"/>
        </w:rPr>
        <w:t>ONGs</w:t>
      </w:r>
      <w:proofErr w:type="spellEnd"/>
      <w:r w:rsidRPr="0054454B">
        <w:rPr>
          <w:lang w:val="es-ES_tradnl"/>
        </w:rPr>
        <w:t xml:space="preserve"> que trabajen </w:t>
      </w:r>
      <w:r w:rsidR="00892274">
        <w:rPr>
          <w:lang w:val="es-ES_tradnl"/>
        </w:rPr>
        <w:t xml:space="preserve">en la promoción de derechos de los </w:t>
      </w:r>
      <w:r w:rsidRPr="0054454B">
        <w:rPr>
          <w:lang w:val="es-ES_tradnl"/>
        </w:rPr>
        <w:t>NNA</w:t>
      </w:r>
      <w:r w:rsidR="00EA3278" w:rsidRPr="0054454B">
        <w:rPr>
          <w:lang w:val="es-ES_tradnl"/>
        </w:rPr>
        <w:t xml:space="preserve">. </w:t>
      </w:r>
    </w:p>
    <w:sectPr w:rsidR="001B5C49" w:rsidSect="003207DA">
      <w:footerReference w:type="default" r:id="rId15"/>
      <w:pgSz w:w="12240" w:h="15840" w:code="1"/>
      <w:pgMar w:top="832" w:right="1440" w:bottom="1276" w:left="144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BC" w:rsidRDefault="00C246BC">
      <w:r>
        <w:separator/>
      </w:r>
    </w:p>
  </w:endnote>
  <w:endnote w:type="continuationSeparator" w:id="0">
    <w:p w:rsidR="00C246BC" w:rsidRDefault="00C2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88" w:rsidRDefault="00C246BC">
    <w:pPr>
      <w:pStyle w:val="Footer"/>
      <w:jc w:val="center"/>
    </w:pPr>
    <w:r>
      <w:fldChar w:fldCharType="begin"/>
    </w:r>
    <w:r>
      <w:instrText xml:space="preserve"> PAGE   \* MERGEFORMAT </w:instrText>
    </w:r>
    <w:r>
      <w:fldChar w:fldCharType="separate"/>
    </w:r>
    <w:r w:rsidR="002E08E0">
      <w:rPr>
        <w:noProof/>
      </w:rPr>
      <w:t>3</w:t>
    </w:r>
    <w:r>
      <w:rPr>
        <w:noProof/>
      </w:rPr>
      <w:fldChar w:fldCharType="end"/>
    </w:r>
  </w:p>
  <w:p w:rsidR="00A87A88" w:rsidRPr="004A72AB" w:rsidRDefault="00A87A88" w:rsidP="004A7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BC" w:rsidRDefault="00C246BC">
      <w:r>
        <w:separator/>
      </w:r>
    </w:p>
  </w:footnote>
  <w:footnote w:type="continuationSeparator" w:id="0">
    <w:p w:rsidR="00C246BC" w:rsidRDefault="00C24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9E88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394E83"/>
    <w:multiLevelType w:val="hybridMultilevel"/>
    <w:tmpl w:val="82B61F1C"/>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
    <w:nsid w:val="38DE5C1B"/>
    <w:multiLevelType w:val="hybridMultilevel"/>
    <w:tmpl w:val="19F4FF22"/>
    <w:lvl w:ilvl="0" w:tplc="704EF65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B752BA"/>
    <w:multiLevelType w:val="hybridMultilevel"/>
    <w:tmpl w:val="6FD6D300"/>
    <w:lvl w:ilvl="0" w:tplc="31FE433C">
      <w:start w:val="1"/>
      <w:numFmt w:val="decimal"/>
      <w:lvlText w:val="%1."/>
      <w:lvlJc w:val="left"/>
      <w:pPr>
        <w:tabs>
          <w:tab w:val="num" w:pos="1080"/>
        </w:tabs>
        <w:ind w:left="1080" w:hanging="360"/>
      </w:pPr>
      <w:rPr>
        <w:rFonts w:ascii="Arial" w:hAnsi="Arial" w:cs="Arial" w:hint="default"/>
        <w:b w:val="0"/>
        <w:i w:val="0"/>
        <w:color w:val="auto"/>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1B74CF3"/>
    <w:multiLevelType w:val="hybridMultilevel"/>
    <w:tmpl w:val="847E3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91"/>
    <w:rsid w:val="00000602"/>
    <w:rsid w:val="00001824"/>
    <w:rsid w:val="000036CE"/>
    <w:rsid w:val="000046CA"/>
    <w:rsid w:val="000165E7"/>
    <w:rsid w:val="00025E3E"/>
    <w:rsid w:val="000452EB"/>
    <w:rsid w:val="0005462B"/>
    <w:rsid w:val="00056137"/>
    <w:rsid w:val="00056938"/>
    <w:rsid w:val="00093099"/>
    <w:rsid w:val="000D05B3"/>
    <w:rsid w:val="000E0CE3"/>
    <w:rsid w:val="000F5DC7"/>
    <w:rsid w:val="000F7581"/>
    <w:rsid w:val="00137C05"/>
    <w:rsid w:val="00140D1D"/>
    <w:rsid w:val="001533D1"/>
    <w:rsid w:val="00157375"/>
    <w:rsid w:val="00172B91"/>
    <w:rsid w:val="001B5790"/>
    <w:rsid w:val="001B5C49"/>
    <w:rsid w:val="001C41A8"/>
    <w:rsid w:val="001F7EEA"/>
    <w:rsid w:val="00207C98"/>
    <w:rsid w:val="00221A3C"/>
    <w:rsid w:val="00222822"/>
    <w:rsid w:val="00224FD1"/>
    <w:rsid w:val="00261E04"/>
    <w:rsid w:val="002763A3"/>
    <w:rsid w:val="002825A3"/>
    <w:rsid w:val="002951F7"/>
    <w:rsid w:val="002B000B"/>
    <w:rsid w:val="002B72CD"/>
    <w:rsid w:val="002E08E0"/>
    <w:rsid w:val="002F195F"/>
    <w:rsid w:val="002F2011"/>
    <w:rsid w:val="002F5D74"/>
    <w:rsid w:val="003003A7"/>
    <w:rsid w:val="00307515"/>
    <w:rsid w:val="003207DA"/>
    <w:rsid w:val="00345896"/>
    <w:rsid w:val="0035097E"/>
    <w:rsid w:val="00354848"/>
    <w:rsid w:val="003628E6"/>
    <w:rsid w:val="003831F5"/>
    <w:rsid w:val="003849DB"/>
    <w:rsid w:val="00387F07"/>
    <w:rsid w:val="00396856"/>
    <w:rsid w:val="003D01EA"/>
    <w:rsid w:val="003D2B2E"/>
    <w:rsid w:val="003F3664"/>
    <w:rsid w:val="00423D2A"/>
    <w:rsid w:val="004331D9"/>
    <w:rsid w:val="0044607B"/>
    <w:rsid w:val="00474E0C"/>
    <w:rsid w:val="004928E4"/>
    <w:rsid w:val="004A72AB"/>
    <w:rsid w:val="004E4A36"/>
    <w:rsid w:val="004F1BFF"/>
    <w:rsid w:val="004F7C4F"/>
    <w:rsid w:val="005433F4"/>
    <w:rsid w:val="0054454B"/>
    <w:rsid w:val="00590926"/>
    <w:rsid w:val="005A6395"/>
    <w:rsid w:val="005D20D0"/>
    <w:rsid w:val="005D3C66"/>
    <w:rsid w:val="005E2344"/>
    <w:rsid w:val="006011E2"/>
    <w:rsid w:val="006030BB"/>
    <w:rsid w:val="00611956"/>
    <w:rsid w:val="00624ADF"/>
    <w:rsid w:val="0062565D"/>
    <w:rsid w:val="006279F1"/>
    <w:rsid w:val="0063515B"/>
    <w:rsid w:val="0065051D"/>
    <w:rsid w:val="00654C8E"/>
    <w:rsid w:val="006768EF"/>
    <w:rsid w:val="006B1077"/>
    <w:rsid w:val="006B30E4"/>
    <w:rsid w:val="006C5AA7"/>
    <w:rsid w:val="006D392F"/>
    <w:rsid w:val="006E1434"/>
    <w:rsid w:val="006E3CAA"/>
    <w:rsid w:val="00706066"/>
    <w:rsid w:val="00713B6B"/>
    <w:rsid w:val="00744B40"/>
    <w:rsid w:val="00754BA8"/>
    <w:rsid w:val="00763506"/>
    <w:rsid w:val="007B1790"/>
    <w:rsid w:val="007B63C5"/>
    <w:rsid w:val="007D35C6"/>
    <w:rsid w:val="00811A8D"/>
    <w:rsid w:val="00826BFA"/>
    <w:rsid w:val="00836999"/>
    <w:rsid w:val="00850558"/>
    <w:rsid w:val="00854869"/>
    <w:rsid w:val="00872732"/>
    <w:rsid w:val="00892274"/>
    <w:rsid w:val="00897B68"/>
    <w:rsid w:val="008C206A"/>
    <w:rsid w:val="008C243C"/>
    <w:rsid w:val="008D7787"/>
    <w:rsid w:val="008E0BA5"/>
    <w:rsid w:val="008E4BA9"/>
    <w:rsid w:val="008F46DD"/>
    <w:rsid w:val="008F4EB2"/>
    <w:rsid w:val="009014C6"/>
    <w:rsid w:val="00904191"/>
    <w:rsid w:val="00906055"/>
    <w:rsid w:val="00920A70"/>
    <w:rsid w:val="0092300D"/>
    <w:rsid w:val="009663F1"/>
    <w:rsid w:val="00966588"/>
    <w:rsid w:val="009925A8"/>
    <w:rsid w:val="009960C6"/>
    <w:rsid w:val="009D0074"/>
    <w:rsid w:val="009D4663"/>
    <w:rsid w:val="009D69B2"/>
    <w:rsid w:val="009E29E0"/>
    <w:rsid w:val="009F1546"/>
    <w:rsid w:val="00A5682D"/>
    <w:rsid w:val="00A6157B"/>
    <w:rsid w:val="00A87A88"/>
    <w:rsid w:val="00AD13D3"/>
    <w:rsid w:val="00AD1EB6"/>
    <w:rsid w:val="00AD5B05"/>
    <w:rsid w:val="00AE7906"/>
    <w:rsid w:val="00AF3516"/>
    <w:rsid w:val="00B22D8E"/>
    <w:rsid w:val="00B34243"/>
    <w:rsid w:val="00B5448C"/>
    <w:rsid w:val="00B8624E"/>
    <w:rsid w:val="00B96F3E"/>
    <w:rsid w:val="00BA1830"/>
    <w:rsid w:val="00BB63AA"/>
    <w:rsid w:val="00BB7EA7"/>
    <w:rsid w:val="00BD2EC0"/>
    <w:rsid w:val="00BE3F5C"/>
    <w:rsid w:val="00BF55C4"/>
    <w:rsid w:val="00BF5C8E"/>
    <w:rsid w:val="00C215EF"/>
    <w:rsid w:val="00C246BC"/>
    <w:rsid w:val="00C3581F"/>
    <w:rsid w:val="00C4548F"/>
    <w:rsid w:val="00CA3834"/>
    <w:rsid w:val="00CB0E11"/>
    <w:rsid w:val="00CC2B73"/>
    <w:rsid w:val="00CC7A59"/>
    <w:rsid w:val="00CD326B"/>
    <w:rsid w:val="00CE30A1"/>
    <w:rsid w:val="00CE618F"/>
    <w:rsid w:val="00D15358"/>
    <w:rsid w:val="00D35492"/>
    <w:rsid w:val="00D506E8"/>
    <w:rsid w:val="00D737C6"/>
    <w:rsid w:val="00D976CD"/>
    <w:rsid w:val="00DB4B9A"/>
    <w:rsid w:val="00DC3334"/>
    <w:rsid w:val="00DE40A9"/>
    <w:rsid w:val="00E259BC"/>
    <w:rsid w:val="00E64D0C"/>
    <w:rsid w:val="00E9521C"/>
    <w:rsid w:val="00EA0372"/>
    <w:rsid w:val="00EA3278"/>
    <w:rsid w:val="00EA6C12"/>
    <w:rsid w:val="00EB6E4E"/>
    <w:rsid w:val="00EC27D4"/>
    <w:rsid w:val="00EC77FB"/>
    <w:rsid w:val="00F166F9"/>
    <w:rsid w:val="00F3029C"/>
    <w:rsid w:val="00F6120D"/>
    <w:rsid w:val="00F96717"/>
    <w:rsid w:val="00FB1300"/>
    <w:rsid w:val="00FB5657"/>
    <w:rsid w:val="00FC66F2"/>
    <w:rsid w:val="00FF1C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4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78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D7787"/>
    <w:rPr>
      <w:rFonts w:ascii="Tahoma" w:hAnsi="Tahoma" w:cs="Tahoma"/>
      <w:sz w:val="16"/>
      <w:szCs w:val="16"/>
      <w:lang w:eastAsia="en-US"/>
    </w:rPr>
  </w:style>
  <w:style w:type="paragraph" w:styleId="NormalWeb">
    <w:name w:val="Normal (Web)"/>
    <w:basedOn w:val="Normal"/>
    <w:unhideWhenUsed/>
    <w:rsid w:val="00BB7EA7"/>
    <w:pPr>
      <w:spacing w:before="100" w:beforeAutospacing="1" w:after="100" w:afterAutospacing="1" w:line="240" w:lineRule="auto"/>
    </w:pPr>
    <w:rPr>
      <w:rFonts w:ascii="Times New Roman" w:eastAsia="Times New Roman" w:hAnsi="Times New Roman"/>
      <w:sz w:val="24"/>
      <w:szCs w:val="24"/>
      <w:lang w:val="es-CR" w:eastAsia="es-CR"/>
    </w:rPr>
  </w:style>
  <w:style w:type="paragraph" w:customStyle="1" w:styleId="Prrafodelista1">
    <w:name w:val="Párrafo de lista1"/>
    <w:basedOn w:val="Normal"/>
    <w:qFormat/>
    <w:rsid w:val="0005462B"/>
    <w:pPr>
      <w:spacing w:after="0" w:line="240" w:lineRule="auto"/>
      <w:ind w:left="708"/>
    </w:pPr>
    <w:rPr>
      <w:rFonts w:ascii="Times New Roman" w:eastAsia="Times New Roman" w:hAnsi="Times New Roman"/>
      <w:sz w:val="24"/>
      <w:szCs w:val="24"/>
      <w:lang w:val="en-US"/>
    </w:rPr>
  </w:style>
  <w:style w:type="character" w:styleId="CommentReference">
    <w:name w:val="annotation reference"/>
    <w:uiPriority w:val="99"/>
    <w:semiHidden/>
    <w:unhideWhenUsed/>
    <w:rsid w:val="005A6395"/>
    <w:rPr>
      <w:sz w:val="16"/>
      <w:szCs w:val="16"/>
    </w:rPr>
  </w:style>
  <w:style w:type="paragraph" w:styleId="CommentText">
    <w:name w:val="annotation text"/>
    <w:basedOn w:val="Normal"/>
    <w:link w:val="CommentTextChar"/>
    <w:uiPriority w:val="99"/>
    <w:semiHidden/>
    <w:unhideWhenUsed/>
    <w:rsid w:val="005A6395"/>
    <w:rPr>
      <w:sz w:val="20"/>
      <w:szCs w:val="20"/>
    </w:rPr>
  </w:style>
  <w:style w:type="character" w:customStyle="1" w:styleId="CommentTextChar">
    <w:name w:val="Comment Text Char"/>
    <w:link w:val="CommentText"/>
    <w:uiPriority w:val="99"/>
    <w:semiHidden/>
    <w:rsid w:val="005A6395"/>
    <w:rPr>
      <w:lang w:eastAsia="en-US"/>
    </w:rPr>
  </w:style>
  <w:style w:type="paragraph" w:styleId="CommentSubject">
    <w:name w:val="annotation subject"/>
    <w:basedOn w:val="CommentText"/>
    <w:next w:val="CommentText"/>
    <w:link w:val="CommentSubjectChar"/>
    <w:uiPriority w:val="99"/>
    <w:semiHidden/>
    <w:unhideWhenUsed/>
    <w:rsid w:val="005A6395"/>
    <w:rPr>
      <w:b/>
      <w:bCs/>
    </w:rPr>
  </w:style>
  <w:style w:type="character" w:customStyle="1" w:styleId="CommentSubjectChar">
    <w:name w:val="Comment Subject Char"/>
    <w:link w:val="CommentSubject"/>
    <w:uiPriority w:val="99"/>
    <w:semiHidden/>
    <w:rsid w:val="005A6395"/>
    <w:rPr>
      <w:b/>
      <w:bCs/>
      <w:lang w:eastAsia="en-US"/>
    </w:rPr>
  </w:style>
  <w:style w:type="paragraph" w:styleId="Header">
    <w:name w:val="header"/>
    <w:basedOn w:val="Normal"/>
    <w:rsid w:val="007B63C5"/>
    <w:pPr>
      <w:tabs>
        <w:tab w:val="center" w:pos="4252"/>
        <w:tab w:val="right" w:pos="8504"/>
      </w:tabs>
    </w:pPr>
  </w:style>
  <w:style w:type="paragraph" w:styleId="Footer">
    <w:name w:val="footer"/>
    <w:basedOn w:val="Normal"/>
    <w:link w:val="FooterChar"/>
    <w:uiPriority w:val="99"/>
    <w:rsid w:val="007B63C5"/>
    <w:pPr>
      <w:tabs>
        <w:tab w:val="center" w:pos="4252"/>
        <w:tab w:val="right" w:pos="8504"/>
      </w:tabs>
    </w:pPr>
  </w:style>
  <w:style w:type="paragraph" w:styleId="FootnoteText">
    <w:name w:val="footnote text"/>
    <w:basedOn w:val="Normal"/>
    <w:link w:val="FootnoteTextChar"/>
    <w:uiPriority w:val="99"/>
    <w:semiHidden/>
    <w:unhideWhenUsed/>
    <w:rsid w:val="00854869"/>
    <w:rPr>
      <w:sz w:val="20"/>
      <w:szCs w:val="20"/>
    </w:rPr>
  </w:style>
  <w:style w:type="character" w:customStyle="1" w:styleId="FootnoteTextChar">
    <w:name w:val="Footnote Text Char"/>
    <w:link w:val="FootnoteText"/>
    <w:uiPriority w:val="99"/>
    <w:semiHidden/>
    <w:rsid w:val="00854869"/>
    <w:rPr>
      <w:lang w:val="en-GB" w:eastAsia="en-US"/>
    </w:rPr>
  </w:style>
  <w:style w:type="character" w:styleId="FootnoteReference">
    <w:name w:val="footnote reference"/>
    <w:uiPriority w:val="99"/>
    <w:semiHidden/>
    <w:unhideWhenUsed/>
    <w:rsid w:val="00854869"/>
    <w:rPr>
      <w:vertAlign w:val="superscript"/>
    </w:rPr>
  </w:style>
  <w:style w:type="table" w:styleId="TableGrid">
    <w:name w:val="Table Grid"/>
    <w:basedOn w:val="TableNormal"/>
    <w:uiPriority w:val="99"/>
    <w:rsid w:val="006E3C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E29E0"/>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4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78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D7787"/>
    <w:rPr>
      <w:rFonts w:ascii="Tahoma" w:hAnsi="Tahoma" w:cs="Tahoma"/>
      <w:sz w:val="16"/>
      <w:szCs w:val="16"/>
      <w:lang w:eastAsia="en-US"/>
    </w:rPr>
  </w:style>
  <w:style w:type="paragraph" w:styleId="NormalWeb">
    <w:name w:val="Normal (Web)"/>
    <w:basedOn w:val="Normal"/>
    <w:unhideWhenUsed/>
    <w:rsid w:val="00BB7EA7"/>
    <w:pPr>
      <w:spacing w:before="100" w:beforeAutospacing="1" w:after="100" w:afterAutospacing="1" w:line="240" w:lineRule="auto"/>
    </w:pPr>
    <w:rPr>
      <w:rFonts w:ascii="Times New Roman" w:eastAsia="Times New Roman" w:hAnsi="Times New Roman"/>
      <w:sz w:val="24"/>
      <w:szCs w:val="24"/>
      <w:lang w:val="es-CR" w:eastAsia="es-CR"/>
    </w:rPr>
  </w:style>
  <w:style w:type="paragraph" w:customStyle="1" w:styleId="Prrafodelista1">
    <w:name w:val="Párrafo de lista1"/>
    <w:basedOn w:val="Normal"/>
    <w:qFormat/>
    <w:rsid w:val="0005462B"/>
    <w:pPr>
      <w:spacing w:after="0" w:line="240" w:lineRule="auto"/>
      <w:ind w:left="708"/>
    </w:pPr>
    <w:rPr>
      <w:rFonts w:ascii="Times New Roman" w:eastAsia="Times New Roman" w:hAnsi="Times New Roman"/>
      <w:sz w:val="24"/>
      <w:szCs w:val="24"/>
      <w:lang w:val="en-US"/>
    </w:rPr>
  </w:style>
  <w:style w:type="character" w:styleId="CommentReference">
    <w:name w:val="annotation reference"/>
    <w:uiPriority w:val="99"/>
    <w:semiHidden/>
    <w:unhideWhenUsed/>
    <w:rsid w:val="005A6395"/>
    <w:rPr>
      <w:sz w:val="16"/>
      <w:szCs w:val="16"/>
    </w:rPr>
  </w:style>
  <w:style w:type="paragraph" w:styleId="CommentText">
    <w:name w:val="annotation text"/>
    <w:basedOn w:val="Normal"/>
    <w:link w:val="CommentTextChar"/>
    <w:uiPriority w:val="99"/>
    <w:semiHidden/>
    <w:unhideWhenUsed/>
    <w:rsid w:val="005A6395"/>
    <w:rPr>
      <w:sz w:val="20"/>
      <w:szCs w:val="20"/>
    </w:rPr>
  </w:style>
  <w:style w:type="character" w:customStyle="1" w:styleId="CommentTextChar">
    <w:name w:val="Comment Text Char"/>
    <w:link w:val="CommentText"/>
    <w:uiPriority w:val="99"/>
    <w:semiHidden/>
    <w:rsid w:val="005A6395"/>
    <w:rPr>
      <w:lang w:eastAsia="en-US"/>
    </w:rPr>
  </w:style>
  <w:style w:type="paragraph" w:styleId="CommentSubject">
    <w:name w:val="annotation subject"/>
    <w:basedOn w:val="CommentText"/>
    <w:next w:val="CommentText"/>
    <w:link w:val="CommentSubjectChar"/>
    <w:uiPriority w:val="99"/>
    <w:semiHidden/>
    <w:unhideWhenUsed/>
    <w:rsid w:val="005A6395"/>
    <w:rPr>
      <w:b/>
      <w:bCs/>
    </w:rPr>
  </w:style>
  <w:style w:type="character" w:customStyle="1" w:styleId="CommentSubjectChar">
    <w:name w:val="Comment Subject Char"/>
    <w:link w:val="CommentSubject"/>
    <w:uiPriority w:val="99"/>
    <w:semiHidden/>
    <w:rsid w:val="005A6395"/>
    <w:rPr>
      <w:b/>
      <w:bCs/>
      <w:lang w:eastAsia="en-US"/>
    </w:rPr>
  </w:style>
  <w:style w:type="paragraph" w:styleId="Header">
    <w:name w:val="header"/>
    <w:basedOn w:val="Normal"/>
    <w:rsid w:val="007B63C5"/>
    <w:pPr>
      <w:tabs>
        <w:tab w:val="center" w:pos="4252"/>
        <w:tab w:val="right" w:pos="8504"/>
      </w:tabs>
    </w:pPr>
  </w:style>
  <w:style w:type="paragraph" w:styleId="Footer">
    <w:name w:val="footer"/>
    <w:basedOn w:val="Normal"/>
    <w:link w:val="FooterChar"/>
    <w:uiPriority w:val="99"/>
    <w:rsid w:val="007B63C5"/>
    <w:pPr>
      <w:tabs>
        <w:tab w:val="center" w:pos="4252"/>
        <w:tab w:val="right" w:pos="8504"/>
      </w:tabs>
    </w:pPr>
  </w:style>
  <w:style w:type="paragraph" w:styleId="FootnoteText">
    <w:name w:val="footnote text"/>
    <w:basedOn w:val="Normal"/>
    <w:link w:val="FootnoteTextChar"/>
    <w:uiPriority w:val="99"/>
    <w:semiHidden/>
    <w:unhideWhenUsed/>
    <w:rsid w:val="00854869"/>
    <w:rPr>
      <w:sz w:val="20"/>
      <w:szCs w:val="20"/>
    </w:rPr>
  </w:style>
  <w:style w:type="character" w:customStyle="1" w:styleId="FootnoteTextChar">
    <w:name w:val="Footnote Text Char"/>
    <w:link w:val="FootnoteText"/>
    <w:uiPriority w:val="99"/>
    <w:semiHidden/>
    <w:rsid w:val="00854869"/>
    <w:rPr>
      <w:lang w:val="en-GB" w:eastAsia="en-US"/>
    </w:rPr>
  </w:style>
  <w:style w:type="character" w:styleId="FootnoteReference">
    <w:name w:val="footnote reference"/>
    <w:uiPriority w:val="99"/>
    <w:semiHidden/>
    <w:unhideWhenUsed/>
    <w:rsid w:val="00854869"/>
    <w:rPr>
      <w:vertAlign w:val="superscript"/>
    </w:rPr>
  </w:style>
  <w:style w:type="table" w:styleId="TableGrid">
    <w:name w:val="Table Grid"/>
    <w:basedOn w:val="TableNormal"/>
    <w:uiPriority w:val="99"/>
    <w:rsid w:val="006E3C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E29E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9620">
      <w:bodyDiv w:val="1"/>
      <w:marLeft w:val="0"/>
      <w:marRight w:val="0"/>
      <w:marTop w:val="0"/>
      <w:marBottom w:val="0"/>
      <w:divBdr>
        <w:top w:val="none" w:sz="0" w:space="0" w:color="auto"/>
        <w:left w:val="none" w:sz="0" w:space="0" w:color="auto"/>
        <w:bottom w:val="none" w:sz="0" w:space="0" w:color="auto"/>
        <w:right w:val="none" w:sz="0" w:space="0" w:color="auto"/>
      </w:divBdr>
    </w:div>
    <w:div w:id="6407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7B45-FF15-4A16-8506-C82936C3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7405</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PROPUESTA EVENTO OIM/OIT/UNICEF</vt:lpstr>
      <vt:lpstr>PROPUESTA EVENTO OIM/OIT/UNICEF</vt:lpstr>
    </vt:vector>
  </TitlesOfParts>
  <Company>IOMSJO</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EVENTO OIM/OIT/UNICEF</dc:title>
  <dc:creator>Noortje Denkers</dc:creator>
  <cp:lastModifiedBy>CON Ana Paola</cp:lastModifiedBy>
  <cp:revision>2</cp:revision>
  <cp:lastPrinted>2012-02-22T14:59:00Z</cp:lastPrinted>
  <dcterms:created xsi:type="dcterms:W3CDTF">2017-03-03T17:12:00Z</dcterms:created>
  <dcterms:modified xsi:type="dcterms:W3CDTF">2017-03-03T17:12:00Z</dcterms:modified>
</cp:coreProperties>
</file>