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F9A" w:rsidRDefault="00D92883" w:rsidP="00ED5F9A">
      <w:pPr>
        <w:autoSpaceDE w:val="0"/>
        <w:autoSpaceDN w:val="0"/>
        <w:adjustRightInd w:val="0"/>
        <w:ind w:right="-720"/>
        <w:jc w:val="center"/>
        <w:rPr>
          <w:rFonts w:ascii="Garamond" w:hAnsi="Garamond"/>
          <w:b/>
          <w:i/>
          <w:sz w:val="28"/>
          <w:szCs w:val="28"/>
        </w:rPr>
      </w:pPr>
      <w:r>
        <w:rPr>
          <w:noProof/>
          <w:sz w:val="28"/>
          <w:szCs w:val="28"/>
          <w:lang w:val="es-CR"/>
        </w:rPr>
        <w:drawing>
          <wp:inline distT="0" distB="0" distL="0" distR="0" wp14:anchorId="0F0FD38F" wp14:editId="6D33D2FD">
            <wp:extent cx="1819275" cy="721107"/>
            <wp:effectExtent l="0" t="0" r="0" b="3175"/>
            <wp:docPr id="4" name="Picture 4" descr="A screenshot of a computer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RM curvas - Transparen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49" cy="72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F9A" w:rsidRDefault="00D92883" w:rsidP="00ED5F9A">
      <w:pPr>
        <w:autoSpaceDE w:val="0"/>
        <w:autoSpaceDN w:val="0"/>
        <w:adjustRightInd w:val="0"/>
        <w:ind w:right="-720"/>
        <w:jc w:val="center"/>
        <w:rPr>
          <w:rFonts w:ascii="Garamond" w:hAnsi="Garamond"/>
          <w:b/>
          <w:i/>
          <w:sz w:val="28"/>
          <w:szCs w:val="28"/>
        </w:rPr>
      </w:pPr>
      <w:r w:rsidRPr="001047EF">
        <w:rPr>
          <w:rFonts w:ascii="Garamond" w:hAnsi="Garamond"/>
          <w:b/>
          <w:i/>
          <w:noProof/>
          <w:sz w:val="28"/>
          <w:szCs w:val="28"/>
          <w:lang w:val="es-CR" w:eastAsia="es-CR"/>
        </w:rPr>
        <w:drawing>
          <wp:anchor distT="0" distB="0" distL="114300" distR="114300" simplePos="0" relativeHeight="251663360" behindDoc="0" locked="0" layoutInCell="1" allowOverlap="1" wp14:anchorId="7844E918" wp14:editId="06AF25DF">
            <wp:simplePos x="0" y="0"/>
            <wp:positionH relativeFrom="column">
              <wp:posOffset>4500245</wp:posOffset>
            </wp:positionH>
            <wp:positionV relativeFrom="paragraph">
              <wp:posOffset>13970</wp:posOffset>
            </wp:positionV>
            <wp:extent cx="714375" cy="38417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47EF">
        <w:rPr>
          <w:rFonts w:ascii="Garamond" w:hAnsi="Garamond"/>
          <w:b/>
          <w:i/>
          <w:noProof/>
          <w:sz w:val="28"/>
          <w:szCs w:val="28"/>
          <w:lang w:val="es-CR" w:eastAsia="es-CR"/>
        </w:rPr>
        <w:drawing>
          <wp:anchor distT="0" distB="0" distL="114300" distR="114300" simplePos="0" relativeHeight="251661312" behindDoc="0" locked="0" layoutInCell="1" allowOverlap="1" wp14:anchorId="75F4409B" wp14:editId="365F733E">
            <wp:simplePos x="0" y="0"/>
            <wp:positionH relativeFrom="column">
              <wp:posOffset>1356995</wp:posOffset>
            </wp:positionH>
            <wp:positionV relativeFrom="paragraph">
              <wp:posOffset>13970</wp:posOffset>
            </wp:positionV>
            <wp:extent cx="762000" cy="384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5F9A" w:rsidRDefault="00ED5F9A" w:rsidP="00ED5F9A">
      <w:pPr>
        <w:autoSpaceDE w:val="0"/>
        <w:autoSpaceDN w:val="0"/>
        <w:adjustRightInd w:val="0"/>
        <w:ind w:right="-720"/>
        <w:jc w:val="center"/>
        <w:rPr>
          <w:rFonts w:ascii="Garamond" w:hAnsi="Garamond"/>
          <w:b/>
          <w:i/>
          <w:sz w:val="28"/>
          <w:szCs w:val="28"/>
        </w:rPr>
      </w:pPr>
    </w:p>
    <w:p w:rsidR="00ED5F9A" w:rsidRDefault="00ED5F9A" w:rsidP="00ED5F9A">
      <w:pPr>
        <w:autoSpaceDE w:val="0"/>
        <w:autoSpaceDN w:val="0"/>
        <w:adjustRightInd w:val="0"/>
        <w:ind w:right="-720"/>
        <w:jc w:val="center"/>
        <w:rPr>
          <w:rFonts w:ascii="Garamond" w:hAnsi="Garamond"/>
          <w:b/>
          <w:i/>
          <w:sz w:val="28"/>
          <w:szCs w:val="28"/>
        </w:rPr>
      </w:pPr>
    </w:p>
    <w:p w:rsidR="00ED4C99" w:rsidRPr="00ED5F9A" w:rsidRDefault="00391EA8" w:rsidP="00ED5F9A">
      <w:pPr>
        <w:autoSpaceDE w:val="0"/>
        <w:autoSpaceDN w:val="0"/>
        <w:adjustRightInd w:val="0"/>
        <w:ind w:right="-720"/>
        <w:jc w:val="center"/>
        <w:rPr>
          <w:rFonts w:ascii="Garamond" w:hAnsi="Garamond"/>
          <w:b/>
          <w:i/>
          <w:sz w:val="28"/>
          <w:szCs w:val="28"/>
        </w:rPr>
      </w:pPr>
      <w:r w:rsidRPr="00ED5F9A">
        <w:rPr>
          <w:rFonts w:ascii="Garamond" w:hAnsi="Garamond"/>
          <w:b/>
          <w:i/>
          <w:sz w:val="28"/>
          <w:szCs w:val="28"/>
        </w:rPr>
        <w:t>Regional Conference on Migration (</w:t>
      </w:r>
      <w:r w:rsidR="00ED4C99" w:rsidRPr="00ED5F9A">
        <w:rPr>
          <w:rFonts w:ascii="Garamond" w:hAnsi="Garamond"/>
          <w:b/>
          <w:i/>
          <w:sz w:val="28"/>
          <w:szCs w:val="28"/>
        </w:rPr>
        <w:t>RCM</w:t>
      </w:r>
      <w:r w:rsidRPr="00ED5F9A">
        <w:rPr>
          <w:rFonts w:ascii="Garamond" w:hAnsi="Garamond"/>
          <w:b/>
          <w:i/>
          <w:sz w:val="28"/>
          <w:szCs w:val="28"/>
        </w:rPr>
        <w:t>)</w:t>
      </w:r>
    </w:p>
    <w:p w:rsidR="00135316" w:rsidRPr="00ED5F9A" w:rsidRDefault="00BD7C37" w:rsidP="00ED5F9A">
      <w:pPr>
        <w:autoSpaceDE w:val="0"/>
        <w:autoSpaceDN w:val="0"/>
        <w:adjustRightInd w:val="0"/>
        <w:ind w:right="-720"/>
        <w:jc w:val="center"/>
        <w:rPr>
          <w:rFonts w:ascii="Garamond" w:hAnsi="Garamond"/>
          <w:b/>
          <w:i/>
          <w:sz w:val="28"/>
          <w:szCs w:val="28"/>
        </w:rPr>
      </w:pPr>
      <w:r w:rsidRPr="00ED5F9A">
        <w:rPr>
          <w:rFonts w:ascii="Garamond" w:hAnsi="Garamond"/>
          <w:b/>
          <w:i/>
          <w:sz w:val="28"/>
          <w:szCs w:val="28"/>
        </w:rPr>
        <w:t xml:space="preserve">II </w:t>
      </w:r>
      <w:r w:rsidR="00135316" w:rsidRPr="00ED5F9A">
        <w:rPr>
          <w:rFonts w:ascii="Garamond" w:hAnsi="Garamond"/>
          <w:b/>
          <w:i/>
          <w:sz w:val="28"/>
          <w:szCs w:val="28"/>
        </w:rPr>
        <w:t>Migration Health Workshop</w:t>
      </w:r>
    </w:p>
    <w:p w:rsidR="00135316" w:rsidRPr="00ED5F9A" w:rsidRDefault="00135316" w:rsidP="00ED5F9A">
      <w:pPr>
        <w:autoSpaceDE w:val="0"/>
        <w:autoSpaceDN w:val="0"/>
        <w:adjustRightInd w:val="0"/>
        <w:ind w:right="-720"/>
        <w:jc w:val="center"/>
        <w:rPr>
          <w:rFonts w:ascii="Garamond" w:hAnsi="Garamond"/>
          <w:b/>
          <w:i/>
          <w:sz w:val="28"/>
          <w:szCs w:val="28"/>
        </w:rPr>
      </w:pPr>
    </w:p>
    <w:p w:rsidR="00135316" w:rsidRPr="00ED5F9A" w:rsidRDefault="00135316" w:rsidP="00ED5F9A">
      <w:pPr>
        <w:autoSpaceDE w:val="0"/>
        <w:autoSpaceDN w:val="0"/>
        <w:adjustRightInd w:val="0"/>
        <w:ind w:right="-720"/>
        <w:jc w:val="center"/>
        <w:rPr>
          <w:rFonts w:ascii="Garamond" w:hAnsi="Garamond"/>
          <w:b/>
          <w:i/>
          <w:sz w:val="28"/>
          <w:szCs w:val="28"/>
        </w:rPr>
      </w:pPr>
      <w:r w:rsidRPr="00ED5F9A">
        <w:rPr>
          <w:rFonts w:ascii="Garamond" w:hAnsi="Garamond"/>
          <w:b/>
          <w:i/>
          <w:sz w:val="28"/>
          <w:szCs w:val="28"/>
        </w:rPr>
        <w:t>Concept Paper</w:t>
      </w:r>
    </w:p>
    <w:p w:rsidR="00135316" w:rsidRPr="00ED5F9A" w:rsidRDefault="00135316" w:rsidP="00ED5F9A">
      <w:pPr>
        <w:autoSpaceDE w:val="0"/>
        <w:autoSpaceDN w:val="0"/>
        <w:adjustRightInd w:val="0"/>
        <w:ind w:right="-720"/>
        <w:jc w:val="both"/>
        <w:rPr>
          <w:rFonts w:ascii="Garamond" w:hAnsi="Garamond"/>
          <w:b/>
          <w:i/>
          <w:sz w:val="28"/>
          <w:szCs w:val="28"/>
        </w:rPr>
      </w:pPr>
    </w:p>
    <w:p w:rsidR="00ED4C99" w:rsidRPr="00ED5F9A" w:rsidRDefault="00ED4C99" w:rsidP="00ED5F9A">
      <w:pPr>
        <w:autoSpaceDE w:val="0"/>
        <w:autoSpaceDN w:val="0"/>
        <w:adjustRightInd w:val="0"/>
        <w:jc w:val="both"/>
        <w:rPr>
          <w:rFonts w:ascii="Garamond" w:hAnsi="Garamond"/>
          <w:sz w:val="20"/>
          <w:szCs w:val="20"/>
        </w:rPr>
      </w:pPr>
    </w:p>
    <w:p w:rsidR="00BD7C37" w:rsidRPr="00ED5F9A" w:rsidRDefault="009D5B9E" w:rsidP="00ED5F9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ED5F9A">
        <w:rPr>
          <w:rFonts w:ascii="Garamond" w:hAnsi="Garamond"/>
        </w:rPr>
        <w:t xml:space="preserve">The </w:t>
      </w:r>
      <w:r w:rsidR="00BD7C37" w:rsidRPr="00ED5F9A">
        <w:rPr>
          <w:rFonts w:ascii="Garamond" w:hAnsi="Garamond"/>
        </w:rPr>
        <w:t xml:space="preserve">Regional Conference on Migration (RCM) recognizes the critical importance of </w:t>
      </w:r>
      <w:r w:rsidR="004E5818" w:rsidRPr="00ED5F9A">
        <w:rPr>
          <w:rFonts w:ascii="Garamond" w:hAnsi="Garamond"/>
        </w:rPr>
        <w:t>healthy</w:t>
      </w:r>
      <w:r w:rsidR="00BD7C37" w:rsidRPr="00ED5F9A">
        <w:rPr>
          <w:rFonts w:ascii="Garamond" w:hAnsi="Garamond"/>
        </w:rPr>
        <w:t xml:space="preserve"> communities and individuals across the migration continuum, from </w:t>
      </w:r>
      <w:r w:rsidR="004E5818" w:rsidRPr="00ED5F9A">
        <w:rPr>
          <w:rFonts w:ascii="Garamond" w:hAnsi="Garamond"/>
        </w:rPr>
        <w:t>pre-d</w:t>
      </w:r>
      <w:r w:rsidR="00BD7C37" w:rsidRPr="00ED5F9A">
        <w:rPr>
          <w:rFonts w:ascii="Garamond" w:hAnsi="Garamond"/>
        </w:rPr>
        <w:t>e</w:t>
      </w:r>
      <w:bookmarkStart w:id="0" w:name="_GoBack"/>
      <w:bookmarkEnd w:id="0"/>
      <w:r w:rsidR="00BD7C37" w:rsidRPr="00ED5F9A">
        <w:rPr>
          <w:rFonts w:ascii="Garamond" w:hAnsi="Garamond"/>
        </w:rPr>
        <w:t xml:space="preserve">parture </w:t>
      </w:r>
      <w:r w:rsidR="004E5818" w:rsidRPr="00ED5F9A">
        <w:rPr>
          <w:rFonts w:ascii="Garamond" w:hAnsi="Garamond"/>
        </w:rPr>
        <w:t>through</w:t>
      </w:r>
      <w:r w:rsidR="00BD7C37" w:rsidRPr="00ED5F9A">
        <w:rPr>
          <w:rFonts w:ascii="Garamond" w:hAnsi="Garamond"/>
        </w:rPr>
        <w:t xml:space="preserve"> </w:t>
      </w:r>
      <w:r w:rsidR="00C352AC" w:rsidRPr="00ED5F9A">
        <w:rPr>
          <w:rFonts w:ascii="Garamond" w:hAnsi="Garamond"/>
        </w:rPr>
        <w:t xml:space="preserve">to </w:t>
      </w:r>
      <w:r w:rsidR="00BD7C37" w:rsidRPr="00ED5F9A">
        <w:rPr>
          <w:rFonts w:ascii="Garamond" w:hAnsi="Garamond"/>
        </w:rPr>
        <w:t xml:space="preserve">settlement in destination communities. Two </w:t>
      </w:r>
      <w:r w:rsidR="004E5818" w:rsidRPr="00ED5F9A">
        <w:rPr>
          <w:rFonts w:ascii="Garamond" w:hAnsi="Garamond"/>
        </w:rPr>
        <w:t xml:space="preserve">prior </w:t>
      </w:r>
      <w:r w:rsidR="005C1972" w:rsidRPr="00ED5F9A">
        <w:rPr>
          <w:rFonts w:ascii="Garamond" w:hAnsi="Garamond"/>
        </w:rPr>
        <w:t xml:space="preserve">events </w:t>
      </w:r>
      <w:r w:rsidR="00BD7C37" w:rsidRPr="00ED5F9A">
        <w:rPr>
          <w:rFonts w:ascii="Garamond" w:hAnsi="Garamond"/>
        </w:rPr>
        <w:t xml:space="preserve">on Migration Health have been held by the RCM, in 2004 </w:t>
      </w:r>
      <w:r w:rsidR="005C1972" w:rsidRPr="00ED5F9A">
        <w:rPr>
          <w:rFonts w:ascii="Garamond" w:hAnsi="Garamond"/>
        </w:rPr>
        <w:t>and 2016</w:t>
      </w:r>
      <w:r w:rsidR="00BD7C37" w:rsidRPr="00ED5F9A">
        <w:rPr>
          <w:rFonts w:ascii="Garamond" w:hAnsi="Garamond"/>
        </w:rPr>
        <w:t xml:space="preserve">, and </w:t>
      </w:r>
      <w:r w:rsidR="00955796" w:rsidRPr="00ED5F9A">
        <w:rPr>
          <w:rFonts w:ascii="Garamond" w:hAnsi="Garamond"/>
        </w:rPr>
        <w:t>Migration Health</w:t>
      </w:r>
      <w:r w:rsidR="004E5818" w:rsidRPr="00ED5F9A">
        <w:rPr>
          <w:rFonts w:ascii="Garamond" w:hAnsi="Garamond"/>
        </w:rPr>
        <w:t xml:space="preserve"> </w:t>
      </w:r>
      <w:r w:rsidR="00BD7C37" w:rsidRPr="00ED5F9A">
        <w:rPr>
          <w:rFonts w:ascii="Garamond" w:hAnsi="Garamond"/>
        </w:rPr>
        <w:t xml:space="preserve">has </w:t>
      </w:r>
      <w:r w:rsidR="004E5818" w:rsidRPr="00ED5F9A">
        <w:rPr>
          <w:rFonts w:ascii="Garamond" w:hAnsi="Garamond"/>
        </w:rPr>
        <w:t xml:space="preserve">now </w:t>
      </w:r>
      <w:r w:rsidR="00BD7C37" w:rsidRPr="00ED5F9A">
        <w:rPr>
          <w:rFonts w:ascii="Garamond" w:hAnsi="Garamond"/>
        </w:rPr>
        <w:t>been included as a standing item in the agendas of the Regional Consultation Group on Migration (RCGM).</w:t>
      </w:r>
    </w:p>
    <w:p w:rsidR="00BD7C37" w:rsidRPr="00ED5F9A" w:rsidRDefault="00BD7C37" w:rsidP="00ED5F9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:rsidR="005C1972" w:rsidRPr="00ED5F9A" w:rsidRDefault="005C1972" w:rsidP="00ED5F9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ED5F9A">
        <w:rPr>
          <w:rFonts w:ascii="Garamond" w:hAnsi="Garamond"/>
        </w:rPr>
        <w:t xml:space="preserve">The </w:t>
      </w:r>
      <w:r w:rsidR="00C352AC" w:rsidRPr="00ED5F9A">
        <w:rPr>
          <w:rFonts w:ascii="Garamond" w:hAnsi="Garamond"/>
        </w:rPr>
        <w:t>first RCM</w:t>
      </w:r>
      <w:r w:rsidRPr="00ED5F9A">
        <w:rPr>
          <w:rFonts w:ascii="Garamond" w:hAnsi="Garamond"/>
        </w:rPr>
        <w:t xml:space="preserve"> Seminar on Migration and Health in Guatemala City in October 2004 </w:t>
      </w:r>
      <w:r w:rsidR="00C352AC" w:rsidRPr="00ED5F9A">
        <w:rPr>
          <w:rFonts w:ascii="Garamond" w:hAnsi="Garamond"/>
        </w:rPr>
        <w:t xml:space="preserve">was </w:t>
      </w:r>
      <w:r w:rsidRPr="00ED5F9A">
        <w:rPr>
          <w:rFonts w:ascii="Garamond" w:hAnsi="Garamond"/>
        </w:rPr>
        <w:t>co-sponsored by Canada and Mexico. A wide range of issues were covered, including the latest information from all participating governments and international organizations, such as lessons learned from the</w:t>
      </w:r>
      <w:r w:rsidR="00C352AC" w:rsidRPr="00ED5F9A">
        <w:rPr>
          <w:rFonts w:ascii="Garamond" w:hAnsi="Garamond"/>
        </w:rPr>
        <w:t xml:space="preserve"> response to</w:t>
      </w:r>
      <w:r w:rsidRPr="00ED5F9A">
        <w:rPr>
          <w:rFonts w:ascii="Garamond" w:hAnsi="Garamond"/>
        </w:rPr>
        <w:t xml:space="preserve"> Severe Acute Respiratory Syndrome (SARS) that had recently </w:t>
      </w:r>
      <w:r w:rsidR="00C352AC" w:rsidRPr="00ED5F9A">
        <w:rPr>
          <w:rFonts w:ascii="Garamond" w:hAnsi="Garamond"/>
        </w:rPr>
        <w:t xml:space="preserve">affected countries </w:t>
      </w:r>
      <w:r w:rsidRPr="00ED5F9A">
        <w:rPr>
          <w:rFonts w:ascii="Garamond" w:hAnsi="Garamond"/>
        </w:rPr>
        <w:t>across the globe.</w:t>
      </w:r>
    </w:p>
    <w:p w:rsidR="005C1972" w:rsidRPr="00ED5F9A" w:rsidRDefault="005C1972" w:rsidP="00ED5F9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:rsidR="008A29BF" w:rsidRPr="00ED5F9A" w:rsidRDefault="005C1972" w:rsidP="00ED5F9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ED5F9A">
        <w:rPr>
          <w:rFonts w:ascii="Garamond" w:hAnsi="Garamond"/>
        </w:rPr>
        <w:t>In the wake of the Ebola crisis and the regional spread of the Zika virus</w:t>
      </w:r>
      <w:r w:rsidR="00C352AC" w:rsidRPr="00ED5F9A">
        <w:rPr>
          <w:rFonts w:ascii="Garamond" w:hAnsi="Garamond"/>
        </w:rPr>
        <w:t xml:space="preserve"> in the Americas</w:t>
      </w:r>
      <w:r w:rsidRPr="00ED5F9A">
        <w:rPr>
          <w:rFonts w:ascii="Garamond" w:hAnsi="Garamond"/>
        </w:rPr>
        <w:t xml:space="preserve">, </w:t>
      </w:r>
      <w:r w:rsidR="00C352AC" w:rsidRPr="00ED5F9A">
        <w:rPr>
          <w:rFonts w:ascii="Garamond" w:hAnsi="Garamond"/>
        </w:rPr>
        <w:t xml:space="preserve">the </w:t>
      </w:r>
      <w:r w:rsidRPr="00ED5F9A">
        <w:rPr>
          <w:rFonts w:ascii="Garamond" w:hAnsi="Garamond"/>
        </w:rPr>
        <w:t>2016 Migration Health Workshop</w:t>
      </w:r>
      <w:r w:rsidR="004E09D8" w:rsidRPr="00ED5F9A">
        <w:rPr>
          <w:rFonts w:ascii="Garamond" w:hAnsi="Garamond"/>
        </w:rPr>
        <w:t xml:space="preserve"> </w:t>
      </w:r>
      <w:r w:rsidR="004D0BF4" w:rsidRPr="00ED5F9A">
        <w:rPr>
          <w:rFonts w:ascii="Garamond" w:hAnsi="Garamond"/>
        </w:rPr>
        <w:t xml:space="preserve">co-sponsored by Costa Rica and </w:t>
      </w:r>
      <w:r w:rsidR="002216BC" w:rsidRPr="00ED5F9A">
        <w:rPr>
          <w:rFonts w:ascii="Garamond" w:hAnsi="Garamond"/>
        </w:rPr>
        <w:t xml:space="preserve">with </w:t>
      </w:r>
      <w:r w:rsidR="004E09D8" w:rsidRPr="00ED5F9A">
        <w:rPr>
          <w:rFonts w:ascii="Garamond" w:hAnsi="Garamond"/>
        </w:rPr>
        <w:t>the support of IOM and PAHO</w:t>
      </w:r>
      <w:r w:rsidR="00C352AC" w:rsidRPr="00ED5F9A">
        <w:rPr>
          <w:rFonts w:ascii="Garamond" w:hAnsi="Garamond"/>
        </w:rPr>
        <w:t xml:space="preserve">, </w:t>
      </w:r>
      <w:r w:rsidRPr="00ED5F9A">
        <w:rPr>
          <w:rFonts w:ascii="Garamond" w:hAnsi="Garamond"/>
        </w:rPr>
        <w:t xml:space="preserve">succeeded in bringing together </w:t>
      </w:r>
      <w:r w:rsidR="00C352AC" w:rsidRPr="00ED5F9A">
        <w:rPr>
          <w:rFonts w:ascii="Garamond" w:hAnsi="Garamond"/>
        </w:rPr>
        <w:t xml:space="preserve">migration and public health </w:t>
      </w:r>
      <w:r w:rsidR="002569CC" w:rsidRPr="00ED5F9A">
        <w:rPr>
          <w:rFonts w:ascii="Garamond" w:hAnsi="Garamond"/>
        </w:rPr>
        <w:t>officials</w:t>
      </w:r>
      <w:r w:rsidR="00C352AC" w:rsidRPr="00ED5F9A">
        <w:rPr>
          <w:rFonts w:ascii="Garamond" w:hAnsi="Garamond"/>
        </w:rPr>
        <w:t xml:space="preserve"> </w:t>
      </w:r>
      <w:r w:rsidRPr="00ED5F9A">
        <w:rPr>
          <w:rFonts w:ascii="Garamond" w:hAnsi="Garamond"/>
        </w:rPr>
        <w:t xml:space="preserve">from RCM member states and international organizations. The event provided an opportunity for the exchange of new findings, policy innovations and important lessons from across the region. </w:t>
      </w:r>
      <w:r w:rsidR="008A29BF" w:rsidRPr="00ED5F9A">
        <w:rPr>
          <w:rFonts w:ascii="Garamond" w:hAnsi="Garamond"/>
        </w:rPr>
        <w:t xml:space="preserve">The 2016 workshop provided valuable first-hand sharing of experiences, expertise, and best practices from a wide range of contexts, and established </w:t>
      </w:r>
      <w:r w:rsidR="00955796" w:rsidRPr="00ED5F9A">
        <w:rPr>
          <w:rFonts w:ascii="Garamond" w:hAnsi="Garamond"/>
        </w:rPr>
        <w:t xml:space="preserve">important </w:t>
      </w:r>
      <w:r w:rsidR="008A29BF" w:rsidRPr="00ED5F9A">
        <w:rPr>
          <w:rFonts w:ascii="Garamond" w:hAnsi="Garamond"/>
        </w:rPr>
        <w:t xml:space="preserve">lines of communication. Despite the wealth of information shared at the event, migration movements and health issues of relevance to RCM countries and international organizations continue to evolve. </w:t>
      </w:r>
      <w:r w:rsidR="00955796" w:rsidRPr="00ED5F9A">
        <w:rPr>
          <w:rFonts w:ascii="Garamond" w:hAnsi="Garamond"/>
        </w:rPr>
        <w:t xml:space="preserve">Among the </w:t>
      </w:r>
      <w:r w:rsidR="00955796" w:rsidRPr="00ED5F9A">
        <w:rPr>
          <w:rFonts w:ascii="Garamond" w:hAnsi="Garamond"/>
          <w:i/>
        </w:rPr>
        <w:t>Conclusions and Findings</w:t>
      </w:r>
      <w:r w:rsidR="00955796" w:rsidRPr="00ED5F9A">
        <w:rPr>
          <w:rFonts w:ascii="Garamond" w:hAnsi="Garamond"/>
        </w:rPr>
        <w:t xml:space="preserve"> of the workshop, participants noted the importance of having </w:t>
      </w:r>
      <w:r w:rsidR="009C6997" w:rsidRPr="00ED5F9A">
        <w:rPr>
          <w:rFonts w:ascii="Garamond" w:hAnsi="Garamond"/>
        </w:rPr>
        <w:t xml:space="preserve">a follow-up conference </w:t>
      </w:r>
      <w:r w:rsidR="007E6A2B" w:rsidRPr="00ED5F9A">
        <w:rPr>
          <w:rFonts w:ascii="Garamond" w:hAnsi="Garamond"/>
        </w:rPr>
        <w:t>with</w:t>
      </w:r>
      <w:r w:rsidR="009C6997" w:rsidRPr="00ED5F9A">
        <w:rPr>
          <w:rFonts w:ascii="Garamond" w:hAnsi="Garamond"/>
        </w:rPr>
        <w:t>in</w:t>
      </w:r>
      <w:r w:rsidR="007E6A2B" w:rsidRPr="00ED5F9A">
        <w:rPr>
          <w:rFonts w:ascii="Garamond" w:hAnsi="Garamond"/>
        </w:rPr>
        <w:t xml:space="preserve"> two years</w:t>
      </w:r>
      <w:r w:rsidR="009C6997" w:rsidRPr="00ED5F9A">
        <w:rPr>
          <w:rFonts w:ascii="Garamond" w:hAnsi="Garamond"/>
        </w:rPr>
        <w:t>.</w:t>
      </w:r>
    </w:p>
    <w:p w:rsidR="005C1972" w:rsidRPr="00ED5F9A" w:rsidRDefault="005C1972" w:rsidP="00ED5F9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:rsidR="00EF4B5C" w:rsidRPr="00ED5F9A" w:rsidRDefault="009C6997" w:rsidP="00ED5F9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ED5F9A">
        <w:rPr>
          <w:rFonts w:ascii="Garamond" w:hAnsi="Garamond"/>
        </w:rPr>
        <w:lastRenderedPageBreak/>
        <w:t>The</w:t>
      </w:r>
      <w:r w:rsidR="00EF4B5C" w:rsidRPr="00ED5F9A">
        <w:rPr>
          <w:rFonts w:ascii="Garamond" w:hAnsi="Garamond"/>
        </w:rPr>
        <w:t xml:space="preserve"> World Health Assembly agreed</w:t>
      </w:r>
      <w:r w:rsidRPr="00ED5F9A">
        <w:rPr>
          <w:rFonts w:ascii="Garamond" w:hAnsi="Garamond"/>
        </w:rPr>
        <w:t xml:space="preserve"> during 2017</w:t>
      </w:r>
      <w:r w:rsidR="00EF4B5C" w:rsidRPr="00ED5F9A">
        <w:rPr>
          <w:rFonts w:ascii="Garamond" w:hAnsi="Garamond"/>
        </w:rPr>
        <w:t xml:space="preserve"> on the need for strengthening partnerships, intersectoral, intercountry and interagency coordination and collaboration towards improving the health of refugees and migrants</w:t>
      </w:r>
      <w:r w:rsidRPr="00ED5F9A">
        <w:rPr>
          <w:rFonts w:ascii="Garamond" w:hAnsi="Garamond"/>
        </w:rPr>
        <w:t xml:space="preserve">; concurrently, </w:t>
      </w:r>
      <w:r w:rsidR="00EF4B5C" w:rsidRPr="00ED5F9A">
        <w:rPr>
          <w:rFonts w:ascii="Garamond" w:hAnsi="Garamond"/>
        </w:rPr>
        <w:t xml:space="preserve">the United Nations Global Compacts on </w:t>
      </w:r>
      <w:r w:rsidR="004D0BF4" w:rsidRPr="00ED5F9A">
        <w:rPr>
          <w:rFonts w:ascii="Garamond" w:hAnsi="Garamond"/>
        </w:rPr>
        <w:t xml:space="preserve">Migration </w:t>
      </w:r>
      <w:r w:rsidR="00EF4B5C" w:rsidRPr="00ED5F9A">
        <w:rPr>
          <w:rFonts w:ascii="Garamond" w:hAnsi="Garamond"/>
        </w:rPr>
        <w:t xml:space="preserve">and on Refugees </w:t>
      </w:r>
      <w:r w:rsidR="007E6A2B" w:rsidRPr="00ED5F9A">
        <w:rPr>
          <w:rFonts w:ascii="Garamond" w:hAnsi="Garamond"/>
        </w:rPr>
        <w:t>are aiming</w:t>
      </w:r>
      <w:r w:rsidRPr="00ED5F9A">
        <w:rPr>
          <w:rFonts w:ascii="Garamond" w:hAnsi="Garamond"/>
        </w:rPr>
        <w:t xml:space="preserve"> </w:t>
      </w:r>
      <w:r w:rsidR="00EF4B5C" w:rsidRPr="00ED5F9A">
        <w:rPr>
          <w:rFonts w:ascii="Garamond" w:hAnsi="Garamond"/>
        </w:rPr>
        <w:t>to finalize their work in 2018</w:t>
      </w:r>
      <w:r w:rsidRPr="00ED5F9A">
        <w:rPr>
          <w:rFonts w:ascii="Garamond" w:hAnsi="Garamond"/>
        </w:rPr>
        <w:t xml:space="preserve"> and the WHO International Health Regulations will be updated</w:t>
      </w:r>
      <w:r w:rsidR="00814E0C" w:rsidRPr="00ED5F9A">
        <w:rPr>
          <w:rFonts w:ascii="Garamond" w:hAnsi="Garamond"/>
        </w:rPr>
        <w:t xml:space="preserve">. </w:t>
      </w:r>
      <w:r w:rsidRPr="00ED5F9A">
        <w:rPr>
          <w:rFonts w:ascii="Garamond" w:hAnsi="Garamond"/>
        </w:rPr>
        <w:t>In this context, t</w:t>
      </w:r>
      <w:r w:rsidR="004D0BF4" w:rsidRPr="00ED5F9A">
        <w:rPr>
          <w:rFonts w:ascii="Garamond" w:hAnsi="Garamond"/>
        </w:rPr>
        <w:t>he RCM</w:t>
      </w:r>
      <w:r w:rsidR="00814E0C" w:rsidRPr="00ED5F9A">
        <w:rPr>
          <w:rFonts w:ascii="Garamond" w:hAnsi="Garamond"/>
        </w:rPr>
        <w:t xml:space="preserve"> can leverage</w:t>
      </w:r>
      <w:r w:rsidR="004D0BF4" w:rsidRPr="00ED5F9A">
        <w:rPr>
          <w:rFonts w:ascii="Garamond" w:hAnsi="Garamond"/>
        </w:rPr>
        <w:t xml:space="preserve">, as a regional forum, </w:t>
      </w:r>
      <w:r w:rsidR="00814E0C" w:rsidRPr="00ED5F9A">
        <w:rPr>
          <w:rFonts w:ascii="Garamond" w:hAnsi="Garamond"/>
        </w:rPr>
        <w:t>the goals of these overarching initiatives and</w:t>
      </w:r>
      <w:r w:rsidR="004D0BF4" w:rsidRPr="00ED5F9A">
        <w:rPr>
          <w:rFonts w:ascii="Garamond" w:hAnsi="Garamond"/>
        </w:rPr>
        <w:t xml:space="preserve"> pursue </w:t>
      </w:r>
      <w:r w:rsidR="00EF7E47" w:rsidRPr="00ED5F9A">
        <w:rPr>
          <w:rFonts w:ascii="Garamond" w:hAnsi="Garamond"/>
        </w:rPr>
        <w:t xml:space="preserve">more specific information exchanges aligned with </w:t>
      </w:r>
      <w:r w:rsidR="004D0BF4" w:rsidRPr="00ED5F9A">
        <w:rPr>
          <w:rFonts w:ascii="Garamond" w:hAnsi="Garamond"/>
        </w:rPr>
        <w:t>the</w:t>
      </w:r>
      <w:r w:rsidR="00EF7E47" w:rsidRPr="00ED5F9A">
        <w:rPr>
          <w:rFonts w:ascii="Garamond" w:hAnsi="Garamond"/>
        </w:rPr>
        <w:t>ir</w:t>
      </w:r>
      <w:r w:rsidR="004D0BF4" w:rsidRPr="00ED5F9A">
        <w:rPr>
          <w:rFonts w:ascii="Garamond" w:hAnsi="Garamond"/>
        </w:rPr>
        <w:t xml:space="preserve"> goals</w:t>
      </w:r>
      <w:r w:rsidR="00EF4B5C" w:rsidRPr="00ED5F9A">
        <w:rPr>
          <w:rFonts w:ascii="Garamond" w:hAnsi="Garamond"/>
        </w:rPr>
        <w:t xml:space="preserve">. </w:t>
      </w:r>
    </w:p>
    <w:p w:rsidR="005C1972" w:rsidRPr="00ED5F9A" w:rsidRDefault="005C1972" w:rsidP="00ED5F9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:rsidR="005C1972" w:rsidRPr="00ED5F9A" w:rsidRDefault="00232898" w:rsidP="00ED5F9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ED5F9A">
        <w:rPr>
          <w:rFonts w:ascii="Garamond" w:hAnsi="Garamond"/>
        </w:rPr>
        <w:t xml:space="preserve">Canada proposes that the RCM fulfill the </w:t>
      </w:r>
      <w:r w:rsidR="009C6997" w:rsidRPr="00ED5F9A">
        <w:rPr>
          <w:rFonts w:ascii="Garamond" w:hAnsi="Garamond"/>
        </w:rPr>
        <w:t>advice</w:t>
      </w:r>
      <w:r w:rsidRPr="00ED5F9A">
        <w:rPr>
          <w:rFonts w:ascii="Garamond" w:hAnsi="Garamond"/>
        </w:rPr>
        <w:t xml:space="preserve"> from the 2016 event, and asks for the RCM to approve </w:t>
      </w:r>
      <w:r w:rsidR="00462B31" w:rsidRPr="00ED5F9A">
        <w:rPr>
          <w:rFonts w:ascii="Garamond" w:hAnsi="Garamond"/>
        </w:rPr>
        <w:t xml:space="preserve">a two-day workshop to be held in late 2018 or early 2019, where </w:t>
      </w:r>
      <w:r w:rsidR="005C1972" w:rsidRPr="00ED5F9A">
        <w:rPr>
          <w:rFonts w:ascii="Garamond" w:hAnsi="Garamond"/>
        </w:rPr>
        <w:t>policy and program specialists from government agencies</w:t>
      </w:r>
      <w:r w:rsidR="00462B31" w:rsidRPr="00ED5F9A">
        <w:rPr>
          <w:rFonts w:ascii="Garamond" w:hAnsi="Garamond"/>
        </w:rPr>
        <w:t xml:space="preserve">, </w:t>
      </w:r>
      <w:r w:rsidR="009C6997" w:rsidRPr="00ED5F9A">
        <w:rPr>
          <w:rFonts w:ascii="Garamond" w:hAnsi="Garamond"/>
        </w:rPr>
        <w:t>civil</w:t>
      </w:r>
      <w:r w:rsidR="00462B31" w:rsidRPr="00ED5F9A">
        <w:rPr>
          <w:rFonts w:ascii="Garamond" w:hAnsi="Garamond"/>
        </w:rPr>
        <w:t xml:space="preserve"> society and international organizations </w:t>
      </w:r>
      <w:r w:rsidR="009C6997" w:rsidRPr="00ED5F9A">
        <w:rPr>
          <w:rFonts w:ascii="Garamond" w:hAnsi="Garamond"/>
        </w:rPr>
        <w:t>focused on migration health will continue to</w:t>
      </w:r>
      <w:r w:rsidRPr="00ED5F9A">
        <w:rPr>
          <w:rFonts w:ascii="Garamond" w:hAnsi="Garamond"/>
        </w:rPr>
        <w:t xml:space="preserve"> exchange information on policies, programs, best practices and lessons learned</w:t>
      </w:r>
      <w:r w:rsidR="00462B31" w:rsidRPr="00ED5F9A">
        <w:rPr>
          <w:rFonts w:ascii="Garamond" w:hAnsi="Garamond"/>
        </w:rPr>
        <w:t xml:space="preserve">. </w:t>
      </w:r>
    </w:p>
    <w:p w:rsidR="00735E54" w:rsidRPr="00ED5F9A" w:rsidRDefault="00735E54" w:rsidP="00ED5F9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:rsidR="00ED4C99" w:rsidRPr="00ED5F9A" w:rsidRDefault="00232898" w:rsidP="00ED5F9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ED5F9A">
        <w:rPr>
          <w:rFonts w:ascii="Garamond" w:hAnsi="Garamond"/>
        </w:rPr>
        <w:t>T</w:t>
      </w:r>
      <w:r w:rsidR="009C6EBB" w:rsidRPr="00ED5F9A">
        <w:rPr>
          <w:rFonts w:ascii="Garamond" w:hAnsi="Garamond"/>
        </w:rPr>
        <w:t xml:space="preserve">he two-day </w:t>
      </w:r>
      <w:r w:rsidRPr="00ED5F9A">
        <w:rPr>
          <w:rFonts w:ascii="Garamond" w:hAnsi="Garamond"/>
        </w:rPr>
        <w:t>event</w:t>
      </w:r>
      <w:r w:rsidR="009C6EBB" w:rsidRPr="00ED5F9A">
        <w:rPr>
          <w:rFonts w:ascii="Garamond" w:hAnsi="Garamond"/>
        </w:rPr>
        <w:t xml:space="preserve"> could </w:t>
      </w:r>
      <w:r w:rsidR="009C6997" w:rsidRPr="00ED5F9A">
        <w:rPr>
          <w:rFonts w:ascii="Garamond" w:hAnsi="Garamond"/>
        </w:rPr>
        <w:t>potentially include</w:t>
      </w:r>
      <w:r w:rsidR="009C6EBB" w:rsidRPr="00ED5F9A">
        <w:rPr>
          <w:rFonts w:ascii="Garamond" w:hAnsi="Garamond"/>
        </w:rPr>
        <w:t xml:space="preserve"> </w:t>
      </w:r>
      <w:r w:rsidR="00ED4C99" w:rsidRPr="00ED5F9A">
        <w:rPr>
          <w:rFonts w:ascii="Garamond" w:hAnsi="Garamond"/>
        </w:rPr>
        <w:t xml:space="preserve">the following </w:t>
      </w:r>
      <w:r w:rsidR="009C6997" w:rsidRPr="00ED5F9A">
        <w:rPr>
          <w:rFonts w:ascii="Garamond" w:hAnsi="Garamond"/>
        </w:rPr>
        <w:t>agenda items:</w:t>
      </w:r>
      <w:r w:rsidR="00ED4C99" w:rsidRPr="00ED5F9A">
        <w:rPr>
          <w:rFonts w:ascii="Garamond" w:hAnsi="Garamond"/>
        </w:rPr>
        <w:t xml:space="preserve">  </w:t>
      </w:r>
    </w:p>
    <w:p w:rsidR="00ED4C99" w:rsidRPr="00ED5F9A" w:rsidRDefault="00ED4C99" w:rsidP="00ED5F9A">
      <w:pPr>
        <w:spacing w:line="360" w:lineRule="auto"/>
        <w:jc w:val="both"/>
        <w:rPr>
          <w:rFonts w:ascii="Garamond" w:hAnsi="Garamond"/>
        </w:rPr>
      </w:pPr>
    </w:p>
    <w:p w:rsidR="009C6997" w:rsidRPr="00ED5F9A" w:rsidRDefault="004E09D8" w:rsidP="00ED5F9A">
      <w:pPr>
        <w:numPr>
          <w:ilvl w:val="0"/>
          <w:numId w:val="1"/>
        </w:numPr>
        <w:tabs>
          <w:tab w:val="clear" w:pos="1080"/>
          <w:tab w:val="num" w:pos="720"/>
        </w:tabs>
        <w:spacing w:before="120" w:after="120" w:line="360" w:lineRule="auto"/>
        <w:ind w:left="717" w:hanging="357"/>
        <w:jc w:val="both"/>
        <w:rPr>
          <w:rFonts w:ascii="Garamond" w:hAnsi="Garamond"/>
        </w:rPr>
      </w:pPr>
      <w:r w:rsidRPr="00ED5F9A">
        <w:rPr>
          <w:rFonts w:ascii="Garamond" w:hAnsi="Garamond"/>
        </w:rPr>
        <w:t>Outbreak response – e</w:t>
      </w:r>
      <w:r w:rsidR="00F01F7B" w:rsidRPr="00ED5F9A">
        <w:rPr>
          <w:rFonts w:ascii="Garamond" w:hAnsi="Garamond"/>
        </w:rPr>
        <w:t>xperiences and lessons learned</w:t>
      </w:r>
    </w:p>
    <w:p w:rsidR="00F01F7B" w:rsidRPr="00ED5F9A" w:rsidRDefault="009C6997" w:rsidP="00ED5F9A">
      <w:pPr>
        <w:numPr>
          <w:ilvl w:val="0"/>
          <w:numId w:val="1"/>
        </w:numPr>
        <w:tabs>
          <w:tab w:val="clear" w:pos="1080"/>
          <w:tab w:val="num" w:pos="720"/>
        </w:tabs>
        <w:spacing w:before="120" w:after="120" w:line="360" w:lineRule="auto"/>
        <w:ind w:left="717" w:hanging="357"/>
        <w:jc w:val="both"/>
        <w:rPr>
          <w:rFonts w:ascii="Garamond" w:hAnsi="Garamond"/>
        </w:rPr>
      </w:pPr>
      <w:r w:rsidRPr="00ED5F9A">
        <w:rPr>
          <w:rFonts w:ascii="Garamond" w:hAnsi="Garamond"/>
        </w:rPr>
        <w:t xml:space="preserve"> </w:t>
      </w:r>
      <w:r w:rsidR="00F01F7B" w:rsidRPr="00ED5F9A">
        <w:rPr>
          <w:rFonts w:ascii="Garamond" w:hAnsi="Garamond"/>
        </w:rPr>
        <w:t xml:space="preserve">International Health Regulations and migration programs </w:t>
      </w:r>
    </w:p>
    <w:p w:rsidR="003F636A" w:rsidRPr="00ED5F9A" w:rsidRDefault="003F636A" w:rsidP="00ED5F9A">
      <w:pPr>
        <w:numPr>
          <w:ilvl w:val="0"/>
          <w:numId w:val="1"/>
        </w:numPr>
        <w:spacing w:before="120" w:after="120" w:line="360" w:lineRule="auto"/>
        <w:ind w:left="717" w:hanging="357"/>
        <w:jc w:val="both"/>
        <w:rPr>
          <w:rFonts w:ascii="Garamond" w:hAnsi="Garamond"/>
        </w:rPr>
      </w:pPr>
      <w:r w:rsidRPr="00ED5F9A">
        <w:rPr>
          <w:rFonts w:ascii="Garamond" w:hAnsi="Garamond"/>
        </w:rPr>
        <w:t>Tuberculosis – WHO/PAHO strategies, health screening and target populations</w:t>
      </w:r>
    </w:p>
    <w:p w:rsidR="00F01F7B" w:rsidRPr="00ED5F9A" w:rsidRDefault="009C6997" w:rsidP="00ED5F9A">
      <w:pPr>
        <w:numPr>
          <w:ilvl w:val="0"/>
          <w:numId w:val="1"/>
        </w:numPr>
        <w:spacing w:before="120" w:after="120" w:line="360" w:lineRule="auto"/>
        <w:ind w:left="717" w:hanging="357"/>
        <w:jc w:val="both"/>
        <w:rPr>
          <w:rFonts w:ascii="Garamond" w:hAnsi="Garamond"/>
        </w:rPr>
      </w:pPr>
      <w:r w:rsidRPr="00ED5F9A">
        <w:rPr>
          <w:rFonts w:ascii="Garamond" w:hAnsi="Garamond"/>
        </w:rPr>
        <w:t>The mental health impact of</w:t>
      </w:r>
      <w:r w:rsidR="00F01F7B" w:rsidRPr="00ED5F9A">
        <w:rPr>
          <w:rFonts w:ascii="Garamond" w:hAnsi="Garamond"/>
        </w:rPr>
        <w:t xml:space="preserve"> economic and social dislocation</w:t>
      </w:r>
    </w:p>
    <w:p w:rsidR="00F01F7B" w:rsidRPr="00ED5F9A" w:rsidRDefault="00F01F7B" w:rsidP="00ED5F9A">
      <w:pPr>
        <w:numPr>
          <w:ilvl w:val="0"/>
          <w:numId w:val="1"/>
        </w:numPr>
        <w:spacing w:before="120" w:after="120" w:line="360" w:lineRule="auto"/>
        <w:ind w:left="717" w:hanging="357"/>
        <w:jc w:val="both"/>
        <w:rPr>
          <w:rFonts w:ascii="Garamond" w:hAnsi="Garamond"/>
        </w:rPr>
      </w:pPr>
      <w:r w:rsidRPr="00ED5F9A">
        <w:rPr>
          <w:rFonts w:ascii="Garamond" w:hAnsi="Garamond"/>
        </w:rPr>
        <w:t xml:space="preserve">Health </w:t>
      </w:r>
      <w:r w:rsidR="009C6997" w:rsidRPr="00ED5F9A">
        <w:rPr>
          <w:rFonts w:ascii="Garamond" w:hAnsi="Garamond"/>
        </w:rPr>
        <w:t xml:space="preserve">services </w:t>
      </w:r>
      <w:r w:rsidRPr="00ED5F9A">
        <w:rPr>
          <w:rFonts w:ascii="Garamond" w:hAnsi="Garamond"/>
        </w:rPr>
        <w:t>for migrants and refugees</w:t>
      </w:r>
    </w:p>
    <w:p w:rsidR="003F636A" w:rsidRPr="00ED5F9A" w:rsidRDefault="009A5FA9" w:rsidP="00ED5F9A">
      <w:pPr>
        <w:numPr>
          <w:ilvl w:val="0"/>
          <w:numId w:val="1"/>
        </w:numPr>
        <w:spacing w:before="120" w:after="120" w:line="360" w:lineRule="auto"/>
        <w:ind w:left="717" w:hanging="357"/>
        <w:jc w:val="both"/>
        <w:rPr>
          <w:rFonts w:ascii="Garamond" w:hAnsi="Garamond"/>
        </w:rPr>
      </w:pPr>
      <w:r w:rsidRPr="00ED5F9A">
        <w:rPr>
          <w:rFonts w:ascii="Garamond" w:hAnsi="Garamond"/>
        </w:rPr>
        <w:t>M</w:t>
      </w:r>
      <w:r w:rsidR="00F01F7B" w:rsidRPr="00ED5F9A">
        <w:rPr>
          <w:rFonts w:ascii="Garamond" w:hAnsi="Garamond"/>
        </w:rPr>
        <w:t xml:space="preserve">igrant </w:t>
      </w:r>
      <w:r w:rsidR="00C2717F" w:rsidRPr="00ED5F9A">
        <w:rPr>
          <w:rFonts w:ascii="Garamond" w:hAnsi="Garamond"/>
        </w:rPr>
        <w:t>o</w:t>
      </w:r>
      <w:r w:rsidR="00F01F7B" w:rsidRPr="00ED5F9A">
        <w:rPr>
          <w:rFonts w:ascii="Garamond" w:hAnsi="Garamond"/>
        </w:rPr>
        <w:t xml:space="preserve">utreach and </w:t>
      </w:r>
      <w:r w:rsidR="00C2717F" w:rsidRPr="00ED5F9A">
        <w:rPr>
          <w:rFonts w:ascii="Garamond" w:hAnsi="Garamond"/>
        </w:rPr>
        <w:t>p</w:t>
      </w:r>
      <w:r w:rsidR="00F01F7B" w:rsidRPr="00ED5F9A">
        <w:rPr>
          <w:rFonts w:ascii="Garamond" w:hAnsi="Garamond"/>
        </w:rPr>
        <w:t xml:space="preserve">ublic </w:t>
      </w:r>
      <w:r w:rsidR="00C2717F" w:rsidRPr="00ED5F9A">
        <w:rPr>
          <w:rFonts w:ascii="Garamond" w:hAnsi="Garamond"/>
        </w:rPr>
        <w:t>a</w:t>
      </w:r>
      <w:r w:rsidR="00F01F7B" w:rsidRPr="00ED5F9A">
        <w:rPr>
          <w:rFonts w:ascii="Garamond" w:hAnsi="Garamond"/>
        </w:rPr>
        <w:t>wareness</w:t>
      </w:r>
      <w:r w:rsidRPr="00ED5F9A">
        <w:rPr>
          <w:rFonts w:ascii="Garamond" w:hAnsi="Garamond"/>
        </w:rPr>
        <w:t xml:space="preserve"> </w:t>
      </w:r>
    </w:p>
    <w:p w:rsidR="00232898" w:rsidRPr="00ED5F9A" w:rsidRDefault="00232898" w:rsidP="00ED5F9A">
      <w:pPr>
        <w:numPr>
          <w:ilvl w:val="0"/>
          <w:numId w:val="1"/>
        </w:numPr>
        <w:spacing w:before="120" w:after="120" w:line="360" w:lineRule="auto"/>
        <w:ind w:left="717" w:hanging="357"/>
        <w:jc w:val="both"/>
        <w:rPr>
          <w:rFonts w:ascii="Garamond" w:hAnsi="Garamond"/>
        </w:rPr>
      </w:pPr>
      <w:r w:rsidRPr="00ED5F9A">
        <w:rPr>
          <w:rFonts w:ascii="Garamond" w:hAnsi="Garamond"/>
        </w:rPr>
        <w:t>Bridging the divide between migration and health areas in government and society</w:t>
      </w:r>
    </w:p>
    <w:p w:rsidR="00F01F7B" w:rsidRPr="00ED5F9A" w:rsidRDefault="00F01F7B" w:rsidP="00ED5F9A">
      <w:pPr>
        <w:numPr>
          <w:ilvl w:val="0"/>
          <w:numId w:val="1"/>
        </w:numPr>
        <w:spacing w:before="120" w:after="120" w:line="360" w:lineRule="auto"/>
        <w:ind w:left="717" w:hanging="357"/>
        <w:jc w:val="both"/>
        <w:rPr>
          <w:rFonts w:ascii="Garamond" w:hAnsi="Garamond"/>
        </w:rPr>
      </w:pPr>
      <w:r w:rsidRPr="00ED5F9A">
        <w:rPr>
          <w:rFonts w:ascii="Garamond" w:hAnsi="Garamond"/>
        </w:rPr>
        <w:t>Networking,</w:t>
      </w:r>
      <w:r w:rsidR="00232898" w:rsidRPr="00ED5F9A">
        <w:rPr>
          <w:rFonts w:ascii="Garamond" w:hAnsi="Garamond"/>
        </w:rPr>
        <w:t xml:space="preserve"> </w:t>
      </w:r>
      <w:r w:rsidR="009A5FA9" w:rsidRPr="00ED5F9A">
        <w:rPr>
          <w:rFonts w:ascii="Garamond" w:hAnsi="Garamond"/>
        </w:rPr>
        <w:t>p</w:t>
      </w:r>
      <w:r w:rsidR="00232898" w:rsidRPr="00ED5F9A">
        <w:rPr>
          <w:rFonts w:ascii="Garamond" w:hAnsi="Garamond"/>
        </w:rPr>
        <w:t xml:space="preserve">artnerships </w:t>
      </w:r>
      <w:r w:rsidRPr="00ED5F9A">
        <w:rPr>
          <w:rFonts w:ascii="Garamond" w:hAnsi="Garamond"/>
        </w:rPr>
        <w:t xml:space="preserve">and </w:t>
      </w:r>
      <w:r w:rsidR="009A5FA9" w:rsidRPr="00ED5F9A">
        <w:rPr>
          <w:rFonts w:ascii="Garamond" w:hAnsi="Garamond"/>
        </w:rPr>
        <w:t>i</w:t>
      </w:r>
      <w:r w:rsidRPr="00ED5F9A">
        <w:rPr>
          <w:rFonts w:ascii="Garamond" w:hAnsi="Garamond"/>
        </w:rPr>
        <w:t xml:space="preserve">nformation development </w:t>
      </w:r>
    </w:p>
    <w:p w:rsidR="00735E54" w:rsidRPr="00ED5F9A" w:rsidRDefault="00735E54" w:rsidP="00ED5F9A">
      <w:pPr>
        <w:numPr>
          <w:ilvl w:val="0"/>
          <w:numId w:val="1"/>
        </w:numPr>
        <w:spacing w:before="120" w:after="120" w:line="360" w:lineRule="auto"/>
        <w:ind w:left="717" w:hanging="357"/>
        <w:jc w:val="both"/>
        <w:rPr>
          <w:rFonts w:ascii="Garamond" w:hAnsi="Garamond"/>
        </w:rPr>
      </w:pPr>
      <w:r w:rsidRPr="00ED5F9A">
        <w:rPr>
          <w:rFonts w:ascii="Garamond" w:hAnsi="Garamond"/>
        </w:rPr>
        <w:t xml:space="preserve">Identifying </w:t>
      </w:r>
      <w:r w:rsidR="004E09D8" w:rsidRPr="00ED5F9A">
        <w:rPr>
          <w:rFonts w:ascii="Garamond" w:hAnsi="Garamond"/>
        </w:rPr>
        <w:t xml:space="preserve">future </w:t>
      </w:r>
      <w:r w:rsidRPr="00ED5F9A">
        <w:rPr>
          <w:rFonts w:ascii="Garamond" w:hAnsi="Garamond"/>
        </w:rPr>
        <w:t>goals and challenges</w:t>
      </w:r>
      <w:r w:rsidR="004E09D8" w:rsidRPr="00ED5F9A">
        <w:rPr>
          <w:rFonts w:ascii="Garamond" w:hAnsi="Garamond"/>
        </w:rPr>
        <w:t xml:space="preserve"> for migration health initiatives in RCM countries</w:t>
      </w:r>
      <w:r w:rsidR="009C6997" w:rsidRPr="00ED5F9A">
        <w:rPr>
          <w:rFonts w:ascii="Garamond" w:hAnsi="Garamond"/>
        </w:rPr>
        <w:t xml:space="preserve"> </w:t>
      </w:r>
    </w:p>
    <w:p w:rsidR="00735E54" w:rsidRPr="00ED5F9A" w:rsidRDefault="00735E54" w:rsidP="00ED5F9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:rsidR="00735E54" w:rsidRPr="00ED5F9A" w:rsidRDefault="00735E54" w:rsidP="00ED5F9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ED5F9A">
        <w:rPr>
          <w:rFonts w:ascii="Garamond" w:hAnsi="Garamond"/>
        </w:rPr>
        <w:t>Canada would welcome co-sponsorship</w:t>
      </w:r>
      <w:r w:rsidR="009C6997" w:rsidRPr="00ED5F9A">
        <w:rPr>
          <w:rFonts w:ascii="Garamond" w:hAnsi="Garamond"/>
        </w:rPr>
        <w:t xml:space="preserve"> with another country</w:t>
      </w:r>
      <w:r w:rsidRPr="00ED5F9A">
        <w:rPr>
          <w:rFonts w:ascii="Garamond" w:hAnsi="Garamond"/>
        </w:rPr>
        <w:t xml:space="preserve">, particularly for hosting the event in a central location that facilitates participation by all member countries, as well as the support and participation by other member countries and international organizations. </w:t>
      </w:r>
    </w:p>
    <w:sectPr w:rsidR="00735E54" w:rsidRPr="00ED5F9A" w:rsidSect="00D92883">
      <w:footerReference w:type="default" r:id="rId10"/>
      <w:pgSz w:w="12240" w:h="15840"/>
      <w:pgMar w:top="959" w:right="1183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721" w:rsidRDefault="00E42721" w:rsidP="001B607C">
      <w:r>
        <w:separator/>
      </w:r>
    </w:p>
  </w:endnote>
  <w:endnote w:type="continuationSeparator" w:id="0">
    <w:p w:rsidR="00E42721" w:rsidRDefault="00E42721" w:rsidP="001B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964" w:rsidRPr="00B50964" w:rsidRDefault="00150B91">
    <w:pPr>
      <w:pStyle w:val="Footer"/>
      <w:jc w:val="center"/>
      <w:rPr>
        <w:sz w:val="22"/>
        <w:szCs w:val="22"/>
      </w:rPr>
    </w:pPr>
    <w:r w:rsidRPr="00B50964">
      <w:rPr>
        <w:sz w:val="22"/>
        <w:szCs w:val="22"/>
      </w:rPr>
      <w:fldChar w:fldCharType="begin"/>
    </w:r>
    <w:r w:rsidR="00B50964" w:rsidRPr="00B50964">
      <w:rPr>
        <w:sz w:val="22"/>
        <w:szCs w:val="22"/>
      </w:rPr>
      <w:instrText xml:space="preserve"> PAGE   \* MERGEFORMAT </w:instrText>
    </w:r>
    <w:r w:rsidRPr="00B50964">
      <w:rPr>
        <w:sz w:val="22"/>
        <w:szCs w:val="22"/>
      </w:rPr>
      <w:fldChar w:fldCharType="separate"/>
    </w:r>
    <w:r w:rsidR="00ED5F9A">
      <w:rPr>
        <w:noProof/>
        <w:sz w:val="22"/>
        <w:szCs w:val="22"/>
      </w:rPr>
      <w:t>2</w:t>
    </w:r>
    <w:r w:rsidRPr="00B50964">
      <w:rPr>
        <w:sz w:val="22"/>
        <w:szCs w:val="22"/>
      </w:rPr>
      <w:fldChar w:fldCharType="end"/>
    </w:r>
  </w:p>
  <w:p w:rsidR="00B50964" w:rsidRDefault="00B50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721" w:rsidRDefault="00E42721" w:rsidP="001B607C">
      <w:r>
        <w:separator/>
      </w:r>
    </w:p>
  </w:footnote>
  <w:footnote w:type="continuationSeparator" w:id="0">
    <w:p w:rsidR="00E42721" w:rsidRDefault="00E42721" w:rsidP="001B6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A2C3D"/>
    <w:multiLevelType w:val="hybridMultilevel"/>
    <w:tmpl w:val="2B20DCDE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99"/>
    <w:rsid w:val="000352BB"/>
    <w:rsid w:val="00043FAA"/>
    <w:rsid w:val="00045892"/>
    <w:rsid w:val="00074E6E"/>
    <w:rsid w:val="00095D24"/>
    <w:rsid w:val="000C62CC"/>
    <w:rsid w:val="001119A7"/>
    <w:rsid w:val="00135316"/>
    <w:rsid w:val="00150B91"/>
    <w:rsid w:val="00171818"/>
    <w:rsid w:val="001B607C"/>
    <w:rsid w:val="001B6D46"/>
    <w:rsid w:val="001C3490"/>
    <w:rsid w:val="00213AA8"/>
    <w:rsid w:val="002216BC"/>
    <w:rsid w:val="002277BB"/>
    <w:rsid w:val="00232898"/>
    <w:rsid w:val="00236BAF"/>
    <w:rsid w:val="002569CC"/>
    <w:rsid w:val="00280A82"/>
    <w:rsid w:val="002A20CC"/>
    <w:rsid w:val="002E2F29"/>
    <w:rsid w:val="00316A0E"/>
    <w:rsid w:val="003749F3"/>
    <w:rsid w:val="00391EA8"/>
    <w:rsid w:val="003F636A"/>
    <w:rsid w:val="00402A5C"/>
    <w:rsid w:val="004060DD"/>
    <w:rsid w:val="004374CD"/>
    <w:rsid w:val="00437CC7"/>
    <w:rsid w:val="00462B31"/>
    <w:rsid w:val="00482C9B"/>
    <w:rsid w:val="00492855"/>
    <w:rsid w:val="004D0BF4"/>
    <w:rsid w:val="004D1ABC"/>
    <w:rsid w:val="004E032C"/>
    <w:rsid w:val="004E09D8"/>
    <w:rsid w:val="004E0CEF"/>
    <w:rsid w:val="004E5818"/>
    <w:rsid w:val="00512865"/>
    <w:rsid w:val="005C1972"/>
    <w:rsid w:val="0061245E"/>
    <w:rsid w:val="006211C8"/>
    <w:rsid w:val="0063598C"/>
    <w:rsid w:val="006645FB"/>
    <w:rsid w:val="006D63B4"/>
    <w:rsid w:val="006D7119"/>
    <w:rsid w:val="007024FC"/>
    <w:rsid w:val="00703A69"/>
    <w:rsid w:val="00735E54"/>
    <w:rsid w:val="007562ED"/>
    <w:rsid w:val="0077057C"/>
    <w:rsid w:val="0077446B"/>
    <w:rsid w:val="007E6A2B"/>
    <w:rsid w:val="0081093B"/>
    <w:rsid w:val="00814E0C"/>
    <w:rsid w:val="008346D2"/>
    <w:rsid w:val="00853EE4"/>
    <w:rsid w:val="008A29BF"/>
    <w:rsid w:val="00955796"/>
    <w:rsid w:val="009A5FA9"/>
    <w:rsid w:val="009C6997"/>
    <w:rsid w:val="009C6EBB"/>
    <w:rsid w:val="009D5B9E"/>
    <w:rsid w:val="00A07608"/>
    <w:rsid w:val="00A24624"/>
    <w:rsid w:val="00A51CD3"/>
    <w:rsid w:val="00A56462"/>
    <w:rsid w:val="00AA56F4"/>
    <w:rsid w:val="00AB1BB1"/>
    <w:rsid w:val="00AC3304"/>
    <w:rsid w:val="00AD46C2"/>
    <w:rsid w:val="00B07ADC"/>
    <w:rsid w:val="00B25A27"/>
    <w:rsid w:val="00B50964"/>
    <w:rsid w:val="00BC4842"/>
    <w:rsid w:val="00BD7C37"/>
    <w:rsid w:val="00C041A2"/>
    <w:rsid w:val="00C13024"/>
    <w:rsid w:val="00C13394"/>
    <w:rsid w:val="00C2717F"/>
    <w:rsid w:val="00C352AC"/>
    <w:rsid w:val="00CE147D"/>
    <w:rsid w:val="00D27D06"/>
    <w:rsid w:val="00D409FA"/>
    <w:rsid w:val="00D521F2"/>
    <w:rsid w:val="00D648EF"/>
    <w:rsid w:val="00D92883"/>
    <w:rsid w:val="00DA3FEF"/>
    <w:rsid w:val="00E04FB1"/>
    <w:rsid w:val="00E26586"/>
    <w:rsid w:val="00E318CF"/>
    <w:rsid w:val="00E42721"/>
    <w:rsid w:val="00E65FA4"/>
    <w:rsid w:val="00EC3532"/>
    <w:rsid w:val="00ED4C99"/>
    <w:rsid w:val="00ED5F9A"/>
    <w:rsid w:val="00EF4B5C"/>
    <w:rsid w:val="00EF7E47"/>
    <w:rsid w:val="00F01F7B"/>
    <w:rsid w:val="00F0411B"/>
    <w:rsid w:val="00F11510"/>
    <w:rsid w:val="00F203A2"/>
    <w:rsid w:val="00F348E9"/>
    <w:rsid w:val="00F43B9E"/>
    <w:rsid w:val="00F55B29"/>
    <w:rsid w:val="00FC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9B7530-36E2-414C-BEC0-8CF13794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C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3A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6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0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6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07C"/>
    <w:rPr>
      <w:sz w:val="24"/>
      <w:szCs w:val="24"/>
    </w:rPr>
  </w:style>
  <w:style w:type="paragraph" w:customStyle="1" w:styleId="Default">
    <w:name w:val="Default"/>
    <w:rsid w:val="00D27D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D0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B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BF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BF4"/>
    <w:rPr>
      <w:b/>
      <w:bCs/>
    </w:rPr>
  </w:style>
  <w:style w:type="paragraph" w:styleId="Revision">
    <w:name w:val="Revision"/>
    <w:hidden/>
    <w:uiPriority w:val="99"/>
    <w:semiHidden/>
    <w:rsid w:val="00EF7E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Concept Paper</vt:lpstr>
    </vt:vector>
  </TitlesOfParts>
  <Company>CIC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Concept Paper</dc:title>
  <dc:creator>IMTB</dc:creator>
  <cp:lastModifiedBy>RODAS Renán</cp:lastModifiedBy>
  <cp:revision>4</cp:revision>
  <cp:lastPrinted>2017-09-25T18:24:00Z</cp:lastPrinted>
  <dcterms:created xsi:type="dcterms:W3CDTF">2017-11-13T20:14:00Z</dcterms:created>
  <dcterms:modified xsi:type="dcterms:W3CDTF">2018-12-05T17:54:00Z</dcterms:modified>
</cp:coreProperties>
</file>