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after="0" w:line="240" w:lineRule="auto"/>
        <w:jc w:val="both"/>
        <w:rPr>
          <w:b w:val="1"/>
          <w:bCs w:val="1"/>
        </w:rPr>
      </w:pP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XX Reuni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Viceministerial</w:t>
      </w: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Conferencia regional sobre Migraci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  <w:lang w:val="es-ES_tradnl"/>
        </w:rPr>
      </w:pP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Reuni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del Grupo de Consulta sobre Migraci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  <w:lang w:val="es-ES_tradnl"/>
        </w:rPr>
      </w:pPr>
    </w:p>
    <w:p>
      <w:pPr>
        <w:pStyle w:val="Corps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Ciudad de M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xico, 10 de noviembre 2015</w:t>
      </w:r>
    </w:p>
    <w:p>
      <w:pPr>
        <w:pStyle w:val="Corps"/>
        <w:spacing w:after="0" w:line="240" w:lineRule="auto"/>
        <w:jc w:val="center"/>
        <w:rPr>
          <w:b w:val="1"/>
          <w:bCs w:val="1"/>
          <w:lang w:val="es-ES_tradnl"/>
        </w:rPr>
      </w:pP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Contribuci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del Comit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é </w:t>
      </w:r>
      <w:r>
        <w:rPr>
          <w:b w:val="1"/>
          <w:bCs w:val="1"/>
          <w:sz w:val="28"/>
          <w:szCs w:val="28"/>
          <w:rtl w:val="0"/>
          <w:lang w:val="es-ES_tradnl"/>
        </w:rPr>
        <w:t>Internacional de la Cruz Roja (CICR)</w:t>
      </w: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  <w:lang w:val="es-ES_tradnl"/>
        </w:rPr>
      </w:pPr>
    </w:p>
    <w:p>
      <w:pPr>
        <w:pStyle w:val="Corps"/>
        <w:spacing w:after="0" w:line="240" w:lineRule="auto"/>
        <w:jc w:val="center"/>
        <w:rPr>
          <w:b w:val="1"/>
          <w:bCs w:val="1"/>
          <w:sz w:val="28"/>
          <w:szCs w:val="28"/>
          <w:lang w:val="es-ES_tradnl"/>
        </w:rPr>
      </w:pP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Es un privilegio para el Comit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Internacional de la Cruz Roja participar, en calidad de observador, en esta vig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sima Conferencia regional sobre Migraci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que nos re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ne en la ciudad de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xico.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El Comit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Internacional de la Cruz Roja (CICR), en estrecha colaboraci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la Sociedades Nacionales de la Cruz Roja en cada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s,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como con organizaciones locales,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rtl w:val="0"/>
          <w:lang w:val="es-ES_tradnl"/>
        </w:rPr>
        <w:t>trabaja en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 y Am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rica Central en favor de personas migrantes desde 2012.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su 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el CICR busca contribuir a dar respuestas a la necesidades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sicas de la personas migrantes, y a su protecci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n; provee asistencia individual a personas migrantes en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vulnerabilidad, a lo largo de la ruta migratoria, incluso asistencia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dica a migrantes amputados, lesionados o gravemente enfermos, trabaja en el restablecimiento y mantenimiento del contacto entre familiares, y apoya a albergues para personas migrantes con el fin de mejorar sus condiciones. Por otro lado, trabaja con autoridades y organizaciones de la sociedad civil para ayudar a mejorar la respuesta a las necesidades de las personas migrantes desaparecidas y sus familiares.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recientemente, el CICR inici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visitas a estaciones migratorias en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xico, compartiendo sus observaciones y recomendaciones de manera bilateral con el Instituto Nacional de Migraci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Este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el tema central de la vig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sima Conferencia regional sobre Migraci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es la </w:t>
      </w:r>
      <w:r>
        <w:rPr>
          <w:i w:val="1"/>
          <w:iCs w:val="1"/>
          <w:rtl w:val="0"/>
          <w:lang w:val="es-ES_tradnl"/>
        </w:rPr>
        <w:t>integraci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>n,  retorno y reinserci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>n social y productiva de las personas migrantes</w:t>
      </w:r>
      <w:r>
        <w:rPr>
          <w:rtl w:val="0"/>
          <w:lang w:val="es-ES_tradnl"/>
        </w:rPr>
        <w:t xml:space="preserve">.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jc w:val="both"/>
        <w:rPr>
          <w:lang w:val="es-ES_tradnl"/>
        </w:rPr>
      </w:pPr>
    </w:p>
    <w:p>
      <w:pPr>
        <w:pStyle w:val="Corps"/>
        <w:jc w:val="both"/>
      </w:pPr>
      <w:r>
        <w:rPr>
          <w:rtl w:val="0"/>
          <w:lang w:val="es-ES_tradnl"/>
        </w:rPr>
        <w:t>En el primer trimestre de 2014, una intensa ola migratoria, en particular de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no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ados, gener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una crisis humanitaria en los Estados Unidos. Posterior a esto, entr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en funcionamiento el Programa Frontera Sur que, entre octubre 2014 y septiembre 2015, 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cifras de la Secretaria de la Gobernaci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xico, dio como resultado un aumento de un 73% de retenciones de extranjeros en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 y un 69% de deportaciones, en comparaci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el mismo periodo del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anterior. La gran mayor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provenientes del Tri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ngulo Norte de Centroam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rica. Entre tanto, Estados Unidos pas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de deportar a un poco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 de 116 mil centroamericanos, de enero a septiembre del 2014, a deportar a 55 mil durante el mismo periodo en el 2015. </w:t>
      </w:r>
    </w:p>
    <w:p>
      <w:pPr>
        <w:pStyle w:val="Corps"/>
        <w:spacing w:after="0" w:line="240" w:lineRule="auto"/>
      </w:pPr>
      <w:r>
        <w:rPr>
          <w:rtl w:val="0"/>
          <w:lang w:val="es-ES_tradnl"/>
        </w:rPr>
        <w:t>Pero estos retornos no son todos iguales, existen caracter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sticas que pueden diferenciarlos unos de otros: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si son por voluntad propia o por proceso de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n;  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por el lugar donde se deporta y la forma en que se lleva a cabo la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sea por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rea o terrestre;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en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rminos de 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nero y edad, se presentan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deportaciones de  hombres, menores y j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venes;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si se trata de personas  que acaban de salir de Centroam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rica o que han construido una vida en Estados Unidos; 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si son de personas que migraron por razones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micas o que huyeron resultado de la violencia o persecuci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entre otros.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 xml:space="preserve">Es evidente que ante estas diferencias no hay respuestas simples,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nicas. Pero lo que es un hecho es que son las autoridades las que tienen la responsabilidad y el deber de proponer soluciones duraderas. Deben buscar medidas eficaces conformes al derecho internacional, que garanticen el respeto de los derechos de las personas migrantes y que mitiguen las consecuencias humanitarias indeseadas de los procesos de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las personas migrantes, y deben adoptar medidas necesarias para que la vida, la integridad, la dignidad y la seguridad de los migrantes sean garantizadas en cada etapa de la ruta migratoria: la salida, el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Nos parece igualmente importante resaltar que previo a todo proceso de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y en particular en los casos en los que una persona tiene temores fundados de ser perseguida en su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 de origen, se debe respetar el principio de no devoluci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</w:t>
      </w:r>
      <w:r>
        <w:rPr>
          <w:rFonts w:ascii="Helv" w:cs="Helv" w:hAnsi="Helv" w:eastAsia="Helv"/>
          <w:color w:val="ff1f35"/>
          <w:u w:color="ff1f35"/>
          <w:rtl w:val="0"/>
          <w:lang w:val="es-ES_tradnl"/>
        </w:rPr>
        <w:t xml:space="preserve"> </w:t>
      </w:r>
      <w:r>
        <w:rPr>
          <w:rtl w:val="0"/>
          <w:lang w:val="es-ES_tradnl"/>
        </w:rPr>
        <w:t>de acuerdo al derecho internacional y los compromisos asumidos por los Estados, por ejemplo, en el marco de la Declaraci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Cartagena de 1984. 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color w:val="000000"/>
          <w:u w:color="000000"/>
          <w:rtl w:val="0"/>
          <w:lang w:val="es-ES_tradnl"/>
        </w:rPr>
        <w:t>Se debe dar el acceso a procedimientos de asilo justos y eficientes, y a medidas que garanticen que sus derechos sean cabalmente respetados, que les permitan vivir en condiciones dignas y seguras, y que los ayuden a encontrar una soluci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es-ES_tradnl"/>
        </w:rPr>
        <w:t>n a m</w:t>
      </w:r>
      <w:r>
        <w:rPr>
          <w:color w:val="000000"/>
          <w:u w:color="000000"/>
          <w:rtl w:val="0"/>
          <w:lang w:val="es-ES_tradnl"/>
        </w:rPr>
        <w:t>á</w:t>
      </w:r>
      <w:r>
        <w:rPr>
          <w:color w:val="000000"/>
          <w:u w:color="000000"/>
          <w:rtl w:val="0"/>
          <w:lang w:val="es-ES_tradnl"/>
        </w:rPr>
        <w:t>s largo plazo. Los Estados tienen la responsabilidad primordial de esta protecci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es-ES_tradnl"/>
        </w:rPr>
        <w:t xml:space="preserve">n. </w:t>
      </w:r>
      <w:r>
        <w:rPr>
          <w:rtl w:val="0"/>
          <w:lang w:val="es-ES_tradnl"/>
        </w:rPr>
        <w:t>De igual manera, mientras se determina la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personas que buscan asilo, la privaci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libertad deber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ser generalmente evitada, y considerada como una medida excepcional de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ltimo recurso y no la regla, como lo es actualmente.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Como previamente indicado, otro eje fundamental en el que trabaja el CICR es el desarrollo de un di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logo con las autoridades en tem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ticas referentes a la protecci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las personas migrantes, tanto a nivel bilateral-gubernamental, como en foros multilaterales y regionales similares a este que nos ha reunido hoy.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Para el CICR, toda persona migrante, sea menor o adulto, debe tener cubiertas sus necesidades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sicas de alimentaci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alojamiento, agua, acceso a la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dica y seguridad y, adem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s, debe recibir un trato digno mientras est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bajo custodia de autoridades migratorias, las cuales adem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deben prestar debida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necesidades particulares de los menores de edad. Requiere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de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sobre la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legal que enfrenta, sobre los procedimientos administrativos que le afectan y asistencia legal para acceder a sus derechos y, siempre que sea posible, debe respetarse su derecho a poder contactar a un familiar, lo que en ocasiones no sucede.</w:t>
      </w:r>
      <w:r>
        <w:rPr>
          <w:b w:val="1"/>
          <w:bCs w:val="1"/>
          <w:rtl w:val="0"/>
          <w:lang w:val="es-ES_tradnl"/>
        </w:rPr>
        <w:t xml:space="preserve">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center"/>
      </w:pPr>
      <w:r>
        <w:rPr>
          <w:rtl w:val="0"/>
          <w:lang w:val="es-ES_tradnl"/>
        </w:rPr>
        <w:t>****************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Pasando al tema central de esta consulta sobre migraci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reinserci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reintegraci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nos parece  fundamental que haya una coordinaci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eficaz entre las autoridades involucradas en todo proceso de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y que los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de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asuman igualmente sus responsabilidades.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reintegraci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son partes de la misma cadena; las responsabilidades son compartidas y deben ser coordinadas.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En esta coordinaci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sobre condiciones de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de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la consideraci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primaria debe ser la seguridad y la dignidad de las personas migrantes. En nuestra labor en el terreno, hemos observado que las autoridades de los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que est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al origen de la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 a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migrantes han hecho grandes esfuerzos por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ar y poner en marcha procesos, estructuras y protocolos para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integrada de personas migrantes retornadas, tanto a nivel nacional como local.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Esta coordinaci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debe asegurar que las personas migrantes sean deportadas a lugares seguros y en horarios seguros. No se puede aceptar que una persona migrante sea abandonada al otro lado de la frontera en mitad de la noche, aumentando su vulnerabilidad ante grupos armados y la delincuencia com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n. Las diferentes autoridades han hecho esfuerzos significativos en la coordinaci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entre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han logrado reducir de manera significativa la incidencia de deportaciones nocturnas.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En ciertas partes de la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los puntos de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migrantes deportados est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situados en lugares fronterizos que carecen de servicios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sicos como transporte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 xml:space="preserve">blico, facilidades de cambiar cheques o recibir dinero etc. Recomendamos que 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stos sean emplazados en zonas pobladas donde existen servicios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sicos.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n, hemos visto que pocos puntos de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ofrecen una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integrada a personas migrantes deportadas. Recomendamos que sean organizadas para ofrecer servicios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sicos como servicios de comunicaci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sica en salud e, idealmente, instalaciones sanitarias y posibilidades de alojamiento temporal mientras el migrante espera reunirse con su familia (sobre todo para casos de menores no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ados). Donde los estados no brindan servicios de salud o de restablecimiento de contacto familiar, el CICR sigue dispuesto a ofrecerlos,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las Sociedades Nacionales de la Cruz Roja en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xico, Honduras y Guatemala.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En cualquier caso,  la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integrada debe ir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all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de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inmediata, y deber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facilitar ante todo la reintegraci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migrantes retornados a sus comunidades de origen. Esta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integrada deber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ofrecer servicios de registro de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para los que perdieron </w:t>
      </w:r>
      <w:r>
        <w:rPr>
          <w:rtl w:val="0"/>
          <w:lang w:val="es-ES_tradnl"/>
        </w:rPr>
        <w:t xml:space="preserve">– </w:t>
      </w:r>
      <w:r>
        <w:rPr>
          <w:rtl w:val="0"/>
          <w:lang w:val="es-ES_tradnl"/>
        </w:rPr>
        <w:t xml:space="preserve">o que nunca tuvieron </w:t>
      </w:r>
      <w:r>
        <w:rPr>
          <w:rtl w:val="0"/>
          <w:lang w:val="es-ES_tradnl"/>
        </w:rPr>
        <w:t xml:space="preserve">– </w:t>
      </w:r>
      <w:r>
        <w:rPr>
          <w:rtl w:val="0"/>
          <w:lang w:val="es-ES_tradnl"/>
        </w:rPr>
        <w:t>sus documentos legales. Deber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facilitar igualmente el acceso a servicios de salud,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vivienda y trabajo en sus comunidades de origen. Si no es factible que los centros de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ofrezcan un servicio completo, deber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por lo menos facilitar la presencia de representantes de las autoridades pertinentes,  y acordar protocolos de derivaci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ante las autoridades locales competentes para asegurar que las personas migrantes sean recibidas con celeridad y que sus necesidades espec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ficas sean atendidas. 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center"/>
      </w:pPr>
      <w:r>
        <w:rPr>
          <w:rtl w:val="0"/>
          <w:lang w:val="es-ES_tradnl"/>
        </w:rPr>
        <w:t>****************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Desde el punto de vista de salud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blica, deben existir en los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receptores mecanismos  que garanticen, al momento de su llegada, la reinserci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el  sistema de salud del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 de la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migrante retornada. Adem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debe garantizarse la continuidad de la asistencia de salud  de las personas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 vulnerables dentro de 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sta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como quienes presentan padecimientos cr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nicos, amputaciones o lesiones graves.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La reinserci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al sistema de salud de los migrantes retornados exige mecanismos de coordinaci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adecuados entre los actores del sector sanitario entre s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,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 xml:space="preserve">como de 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stos con actores administrativos y de otras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reas. Desafortunadamente, en ciertos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de la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estos mecanismos son a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 xml:space="preserve">n inexistentes o poco desarrollados.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La importancia del proceso de reinserci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al sistema de salud queda claramente ejemplificado en los migrantes amputados, heridos o gravemente enfermos. Quedan casi exclusivamente a expensas de actores de la sociedad civil y organizaciones internacionales para poder continuar su proceso de recuperaci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sin contar casi con apoyo del estado, mientras que los que no acceden a estos actores quedan sin ninguna asistencia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dica.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En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en donde el sistema de salud presenta ya dificultades importantes para cumplir en tiempo y forma sus objetivos, se recomienda focalizar esfuerzos en programas verticales (ej. VIH/SIDA, tuberculosis, enfermedades cr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nicas degenerativas) y de prevenci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de manera coordinada con organizaciones internacionales y actores de la sociedad civil cuando fuera necesario.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se debe resaltar la importancia de brindar a los migrantes retornados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clara respecto a las opciones y beneficios con los que pueden contar en el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s de retorno, lo que permite acelerar los procesos y evitar descompensaciones prevenibles, e incluso deserciones con, en algunos casos, consecuencias fatales.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center"/>
      </w:pPr>
      <w:r>
        <w:rPr>
          <w:rtl w:val="0"/>
          <w:lang w:val="es-ES_tradnl"/>
        </w:rPr>
        <w:t>****************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Para resumir,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 el primer paso para la reintegraci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la reinserci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personas migrantes retornadas. Por supuesto, existe una gran diferencia entre las necesidades de personas que fueron deportadas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despu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migrar, y personas que fueron capturadas y deportadas en los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o semanas despu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salir de sus hogares. Pero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lo si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se hace de forma segura, coordinada e integrada, se puede garantizar la reintegraci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plena de las personas migrantes en sus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ses de retorno de conformidad con los derechos humanos reconocidos a nivel internacional. </w:t>
      </w:r>
    </w:p>
    <w:p>
      <w:pPr>
        <w:pStyle w:val="Corps"/>
        <w:spacing w:after="0" w:line="240" w:lineRule="auto"/>
        <w:rPr>
          <w:lang w:val="es-ES_tradnl"/>
        </w:rPr>
      </w:pPr>
    </w:p>
    <w:p>
      <w:pPr>
        <w:pStyle w:val="Corps"/>
        <w:spacing w:after="0" w:line="240" w:lineRule="auto"/>
        <w:jc w:val="both"/>
      </w:pPr>
      <w:r>
        <w:rPr>
          <w:rtl w:val="0"/>
          <w:lang w:val="es-ES_tradnl"/>
        </w:rPr>
        <w:t>Quiero concluir record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ndoles que, en el marco de su 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exclusivamente humanitaria, el CICR ofrece su apoyo en la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para contribuir a mejorar la recepci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las personas deportadas, en cooperaci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las respectivas Sociedades Nacionales de la Cruz Roja. Me permito reafirmar nuestro compromiso desde el CICR, de trabajar con todas las autoridades e instituciones concernidas en la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ya sea de manera bilateral o en el marco de la Conferencia Regional sobre Migraci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para dar respuestas a estas problem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ticas, contribuir a mitigar las consecuencias humanitarias de los procesos de deportaci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y aportar mejoras sustanciales a la protecci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las personas migrantes que enfrentan estos procesos expuestos a los mayores factores de vulnerabilidad.</w:t>
      </w:r>
    </w:p>
    <w:p>
      <w:pPr>
        <w:pStyle w:val="Corps"/>
        <w:spacing w:after="0" w:line="240" w:lineRule="auto"/>
        <w:jc w:val="both"/>
        <w:rPr>
          <w:lang w:val="es-ES_tradnl"/>
        </w:rPr>
      </w:pPr>
    </w:p>
    <w:p>
      <w:pPr>
        <w:pStyle w:val="Corps"/>
        <w:spacing w:after="0" w:line="240" w:lineRule="auto"/>
        <w:jc w:val="both"/>
        <w:rPr>
          <w:sz w:val="30"/>
          <w:szCs w:val="30"/>
        </w:rPr>
      </w:pPr>
      <w:r>
        <w:rPr>
          <w:rtl w:val="0"/>
          <w:lang w:val="es-ES_tradnl"/>
        </w:rPr>
        <w:t>Muchas gracias por su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</w:t>
      </w:r>
      <w:r>
        <w:rPr>
          <w:sz w:val="30"/>
          <w:szCs w:val="30"/>
          <w:rtl w:val="0"/>
          <w:lang w:val="es-ES_tradnl"/>
        </w:rPr>
        <w:t>.</w:t>
      </w:r>
    </w:p>
    <w:p>
      <w:pPr>
        <w:pStyle w:val="Corps"/>
        <w:spacing w:after="0" w:line="240" w:lineRule="auto"/>
        <w:jc w:val="both"/>
        <w:rPr>
          <w:sz w:val="30"/>
          <w:szCs w:val="30"/>
          <w:lang w:val="es-ES_tradnl"/>
        </w:rPr>
      </w:pPr>
    </w:p>
    <w:p>
      <w:pPr>
        <w:pStyle w:val="Corps"/>
        <w:spacing w:after="0" w:line="240" w:lineRule="auto"/>
      </w:pPr>
      <w:r>
        <w:rPr>
          <w:lang w:val="es-ES_tradnl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•"/>
      <w:lvlJc w:val="left"/>
      <w:pPr>
        <w:ind w:left="77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9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1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3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7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9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1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3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